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jpeg" ContentType="image/jpeg"/>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50BDB">
      <w:pPr>
        <w:spacing w:line="480" w:lineRule="auto"/>
        <w:rPr>
          <w:rFonts w:ascii="楷体_GB2312" w:eastAsia="楷体_GB2312" w:hAnsi="楷体_GB2312" w:cs="楷体_GB2312"/>
          <w:b/>
          <w:bCs/>
          <w:sz w:val="32"/>
          <w:szCs w:val="32"/>
        </w:rPr>
      </w:pPr>
      <w:r>
        <w:rPr>
          <w:rFonts w:ascii="楷体_GB2312" w:eastAsia="楷体_GB2312" w:hAnsi="楷体_GB2312" w:cs="楷体_GB2312"/>
          <w:b/>
          <w:bCs/>
          <w:sz w:val="32"/>
          <w:szCs w:val="32"/>
        </w:rPr>
        <w:pict>
          <v:rect id="Rectangle 2" o:spid="_x0000_s1027" style="position:absolute;left:0;text-align:left;margin-left:-105pt;margin-top:-132.6pt;width:1581.75pt;height:1575.5pt;z-index:251654144" fillcolor="#31849b" stroked="f">
            <v:fill opacity="63570f"/>
          </v:rect>
        </w:pict>
      </w:r>
      <w:r w:rsidR="00F86454">
        <w:rPr>
          <w:rFonts w:ascii="楷体_GB2312" w:eastAsia="楷体_GB2312" w:hAnsi="楷体_GB2312" w:cs="楷体_GB2312"/>
          <w:b/>
          <w:bCs/>
          <w:noProof/>
          <w:sz w:val="32"/>
          <w:szCs w:val="32"/>
        </w:rPr>
        <w:drawing>
          <wp:anchor distT="0" distB="0" distL="114300" distR="114300" simplePos="0" relativeHeight="251659264" behindDoc="0" locked="0" layoutInCell="1" allowOverlap="1">
            <wp:simplePos x="0" y="0"/>
            <wp:positionH relativeFrom="column">
              <wp:posOffset>-589280</wp:posOffset>
            </wp:positionH>
            <wp:positionV relativeFrom="paragraph">
              <wp:posOffset>-586740</wp:posOffset>
            </wp:positionV>
            <wp:extent cx="2028825" cy="1851660"/>
            <wp:effectExtent l="0" t="0" r="0" b="0"/>
            <wp:wrapNone/>
            <wp:docPr id="29" name="图片 4" descr="校徽2副本.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校徽2副本.gif"/>
                    <pic:cNvPicPr>
                      <a:picLocks noChangeAspect="1" noChangeArrowheads="1"/>
                    </pic:cNvPicPr>
                  </pic:nvPicPr>
                  <pic:blipFill>
                    <a:blip r:embed="rId7"/>
                    <a:srcRect/>
                    <a:stretch>
                      <a:fillRect/>
                    </a:stretch>
                  </pic:blipFill>
                  <pic:spPr bwMode="auto">
                    <a:xfrm>
                      <a:off x="0" y="0"/>
                      <a:ext cx="2028825" cy="1851660"/>
                    </a:xfrm>
                    <a:prstGeom prst="rect">
                      <a:avLst/>
                    </a:prstGeom>
                    <a:noFill/>
                    <a:ln w="9525" cmpd="sng">
                      <a:noFill/>
                      <a:miter lim="800000"/>
                      <a:headEnd/>
                      <a:tailEnd/>
                    </a:ln>
                    <a:effectLst/>
                  </pic:spPr>
                </pic:pic>
              </a:graphicData>
            </a:graphic>
          </wp:anchor>
        </w:drawing>
      </w:r>
      <w:r w:rsidR="00F86454">
        <w:rPr>
          <w:rFonts w:ascii="楷体_GB2312" w:eastAsia="楷体_GB2312" w:hAnsi="楷体_GB2312" w:cs="楷体_GB2312"/>
          <w:b/>
          <w:bCs/>
          <w:noProof/>
          <w:sz w:val="32"/>
          <w:szCs w:val="32"/>
        </w:rPr>
        <w:drawing>
          <wp:anchor distT="0" distB="0" distL="114300" distR="114300" simplePos="0" relativeHeight="251655168" behindDoc="0" locked="0" layoutInCell="1" allowOverlap="1">
            <wp:simplePos x="0" y="0"/>
            <wp:positionH relativeFrom="column">
              <wp:posOffset>1504950</wp:posOffset>
            </wp:positionH>
            <wp:positionV relativeFrom="paragraph">
              <wp:posOffset>-257175</wp:posOffset>
            </wp:positionV>
            <wp:extent cx="4218305" cy="1125220"/>
            <wp:effectExtent l="0" t="0" r="0" b="0"/>
            <wp:wrapNone/>
            <wp:docPr id="14" name="图片 2" descr="南通大学杏林学院.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南通大学杏林学院.gif"/>
                    <pic:cNvPicPr>
                      <a:picLocks noChangeAspect="1" noChangeArrowheads="1"/>
                    </pic:cNvPicPr>
                  </pic:nvPicPr>
                  <pic:blipFill>
                    <a:blip r:embed="rId8" cstate="print"/>
                    <a:srcRect/>
                    <a:stretch>
                      <a:fillRect/>
                    </a:stretch>
                  </pic:blipFill>
                  <pic:spPr bwMode="auto">
                    <a:xfrm>
                      <a:off x="0" y="0"/>
                      <a:ext cx="4218305" cy="1125220"/>
                    </a:xfrm>
                    <a:prstGeom prst="rect">
                      <a:avLst/>
                    </a:prstGeom>
                    <a:noFill/>
                    <a:ln w="9525" cmpd="sng">
                      <a:noFill/>
                      <a:miter lim="800000"/>
                      <a:headEnd/>
                      <a:tailEnd/>
                    </a:ln>
                  </pic:spPr>
                </pic:pic>
              </a:graphicData>
            </a:graphic>
          </wp:anchor>
        </w:drawing>
      </w:r>
      <w:r>
        <w:rPr>
          <w:rFonts w:ascii="楷体_GB2312" w:eastAsia="楷体_GB2312" w:hAnsi="楷体_GB2312" w:cs="楷体_GB2312" w:hint="eastAsia"/>
          <w:b/>
          <w:bCs/>
          <w:sz w:val="32"/>
          <w:szCs w:val="32"/>
        </w:rPr>
        <w:t>97</w:t>
      </w:r>
    </w:p>
    <w:p w:rsidR="00000000" w:rsidRDefault="00250BDB">
      <w:pPr>
        <w:spacing w:line="480" w:lineRule="auto"/>
        <w:jc w:val="center"/>
        <w:rPr>
          <w:rFonts w:ascii="楷体_GB2312" w:eastAsia="楷体_GB2312" w:hAnsi="楷体_GB2312" w:cs="楷体_GB2312"/>
          <w:b/>
          <w:bCs/>
          <w:sz w:val="32"/>
          <w:szCs w:val="32"/>
        </w:rPr>
      </w:pPr>
      <w:r>
        <w:rPr>
          <w:rFonts w:ascii="楷体_GB2312" w:eastAsia="楷体_GB2312" w:hAnsi="楷体_GB2312" w:cs="楷体_GB2312"/>
          <w:b/>
          <w:bCs/>
          <w:sz w:val="32"/>
          <w:szCs w:val="32"/>
        </w:rPr>
        <w:pict>
          <v:shapetype id="_x0000_t202" coordsize="21600,21600" o:spt="202" path="m,l,21600r21600,l21600,xe">
            <v:stroke joinstyle="miter"/>
            <v:path gradientshapeok="t" o:connecttype="rect"/>
          </v:shapetype>
          <v:shape id="Text Box 4" o:spid="_x0000_s1029" type="#_x0000_t202" style="position:absolute;left:0;text-align:left;margin-left:102pt;margin-top:30.3pt;width:339.9pt;height:37.05pt;z-index:251656192" stroked="f">
            <v:fill opacity="0"/>
            <v:textbox>
              <w:txbxContent>
                <w:p w:rsidR="00000000" w:rsidRDefault="00250BDB">
                  <w:pPr>
                    <w:ind w:right="210"/>
                    <w:jc w:val="right"/>
                    <w:rPr>
                      <w:rFonts w:eastAsia="华文行楷"/>
                      <w:sz w:val="30"/>
                      <w:szCs w:val="30"/>
                    </w:rPr>
                  </w:pPr>
                  <w:r>
                    <w:rPr>
                      <w:rFonts w:eastAsia="华文行楷"/>
                      <w:sz w:val="30"/>
                      <w:szCs w:val="30"/>
                    </w:rPr>
                    <w:t>N</w:t>
                  </w:r>
                  <w:r>
                    <w:rPr>
                      <w:rFonts w:eastAsia="华文行楷" w:hint="eastAsia"/>
                      <w:sz w:val="30"/>
                      <w:szCs w:val="30"/>
                    </w:rPr>
                    <w:t>antong University Xinglin College</w:t>
                  </w:r>
                </w:p>
                <w:p w:rsidR="00000000" w:rsidRDefault="00250BDB"/>
              </w:txbxContent>
            </v:textbox>
          </v:shape>
        </w:pict>
      </w: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r>
        <w:rPr>
          <w:rFonts w:ascii="楷体_GB2312" w:eastAsia="楷体_GB2312" w:hAnsi="楷体_GB2312" w:cs="楷体_GB2312"/>
          <w:b/>
          <w:bCs/>
          <w:sz w:val="32"/>
          <w:szCs w:val="32"/>
        </w:rPr>
        <w:pict>
          <v:rect id="Rectangle 6" o:spid="_x0000_s1031" style="position:absolute;left:0;text-align:left;margin-left:-21pt;margin-top:14.4pt;width:461.75pt;height:12.3pt;z-index:251658240" fillcolor="red" stroked="f">
            <v:fill opacity="0"/>
            <v:shadow on="t" type="perspective" color="#974706" opacity=".5" offset2="1pt"/>
          </v:rect>
        </w:pict>
      </w:r>
    </w:p>
    <w:p w:rsidR="00000000" w:rsidRDefault="00250BDB">
      <w:pPr>
        <w:spacing w:line="480" w:lineRule="auto"/>
        <w:jc w:val="center"/>
        <w:rPr>
          <w:rFonts w:ascii="楷体_GB2312" w:eastAsia="楷体_GB2312" w:hAnsi="楷体_GB2312" w:cs="楷体_GB2312"/>
          <w:b/>
          <w:bCs/>
          <w:sz w:val="32"/>
          <w:szCs w:val="32"/>
        </w:rPr>
      </w:pPr>
      <w:r>
        <w:rPr>
          <w:rFonts w:ascii="楷体_GB2312" w:eastAsia="楷体_GB2312" w:hAnsi="楷体_GB2312" w:cs="楷体_GB2312"/>
          <w:b/>
          <w:bCs/>
          <w:sz w:val="32"/>
          <w:szCs w:val="32"/>
        </w:rPr>
        <w:pict>
          <v:shape id="Text Box 10" o:spid="_x0000_s1030" type="#_x0000_t202" style="position:absolute;left:0;text-align:left;margin-left:-20.75pt;margin-top:24.2pt;width:466.35pt;height:140.45pt;z-index:251661312" stroked="f">
            <v:fill opacity="0"/>
            <v:textbox>
              <w:txbxContent>
                <w:p w:rsidR="00000000" w:rsidRDefault="00250BDB">
                  <w:pPr>
                    <w:rPr>
                      <w:rFonts w:hint="eastAsia"/>
                      <w:sz w:val="88"/>
                      <w:szCs w:val="88"/>
                    </w:rPr>
                  </w:pPr>
                  <w:r>
                    <w:rPr>
                      <w:rFonts w:hint="eastAsia"/>
                      <w:sz w:val="88"/>
                      <w:szCs w:val="88"/>
                    </w:rPr>
                    <w:t xml:space="preserve"> </w:t>
                  </w:r>
                  <w:r>
                    <w:rPr>
                      <w:rFonts w:ascii="华文行楷" w:eastAsia="华文行楷" w:hAnsi="华文行楷" w:cs="华文行楷" w:hint="eastAsia"/>
                      <w:sz w:val="88"/>
                      <w:szCs w:val="88"/>
                    </w:rPr>
                    <w:t>毕业生就业质量报告</w:t>
                  </w:r>
                </w:p>
                <w:p w:rsidR="00000000" w:rsidRDefault="00250BDB">
                  <w:pPr>
                    <w:rPr>
                      <w:rFonts w:hint="eastAsia"/>
                    </w:rPr>
                  </w:pPr>
                  <w:r>
                    <w:rPr>
                      <w:rFonts w:hint="eastAsia"/>
                    </w:rPr>
                    <w:t xml:space="preserve">                                               </w:t>
                  </w:r>
                  <w:r>
                    <w:rPr>
                      <w:rFonts w:ascii="华文行楷" w:eastAsia="华文行楷" w:hAnsi="华文行楷" w:cs="华文行楷" w:hint="eastAsia"/>
                      <w:sz w:val="72"/>
                      <w:szCs w:val="72"/>
                    </w:rPr>
                    <w:t>（</w:t>
                  </w:r>
                  <w:r>
                    <w:rPr>
                      <w:rFonts w:ascii="华文行楷" w:eastAsia="华文行楷" w:hAnsi="华文行楷" w:cs="华文行楷" w:hint="eastAsia"/>
                      <w:sz w:val="72"/>
                      <w:szCs w:val="72"/>
                    </w:rPr>
                    <w:t>2015</w:t>
                  </w:r>
                  <w:r>
                    <w:rPr>
                      <w:rFonts w:ascii="华文行楷" w:eastAsia="华文行楷" w:hAnsi="华文行楷" w:cs="华文行楷" w:hint="eastAsia"/>
                      <w:sz w:val="72"/>
                      <w:szCs w:val="72"/>
                    </w:rPr>
                    <w:t>届）</w:t>
                  </w:r>
                </w:p>
              </w:txbxContent>
            </v:textbox>
          </v:shape>
        </w:pict>
      </w: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F86454">
      <w:pPr>
        <w:spacing w:line="480" w:lineRule="auto"/>
        <w:jc w:val="center"/>
        <w:rPr>
          <w:rFonts w:ascii="楷体_GB2312" w:eastAsia="楷体_GB2312" w:hAnsi="楷体_GB2312" w:cs="楷体_GB2312"/>
          <w:b/>
          <w:bCs/>
          <w:sz w:val="32"/>
          <w:szCs w:val="32"/>
        </w:rPr>
      </w:pPr>
      <w:r>
        <w:rPr>
          <w:rFonts w:ascii="楷体_GB2312" w:eastAsia="楷体_GB2312" w:hAnsi="楷体_GB2312" w:cs="楷体_GB2312"/>
          <w:b/>
          <w:bCs/>
          <w:noProof/>
          <w:sz w:val="32"/>
          <w:szCs w:val="32"/>
        </w:rPr>
        <w:drawing>
          <wp:anchor distT="0" distB="0" distL="114300" distR="114300" simplePos="0" relativeHeight="251657216" behindDoc="0" locked="0" layoutInCell="1" allowOverlap="1">
            <wp:simplePos x="0" y="0"/>
            <wp:positionH relativeFrom="column">
              <wp:posOffset>-295275</wp:posOffset>
            </wp:positionH>
            <wp:positionV relativeFrom="paragraph">
              <wp:posOffset>230505</wp:posOffset>
            </wp:positionV>
            <wp:extent cx="5841365" cy="3930015"/>
            <wp:effectExtent l="19050" t="0" r="6985" b="0"/>
            <wp:wrapNone/>
            <wp:docPr id="13"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jpg"/>
                    <pic:cNvPicPr>
                      <a:picLocks noChangeAspect="1" noChangeArrowheads="1"/>
                    </pic:cNvPicPr>
                  </pic:nvPicPr>
                  <pic:blipFill>
                    <a:blip r:embed="rId9"/>
                    <a:srcRect/>
                    <a:stretch>
                      <a:fillRect/>
                    </a:stretch>
                  </pic:blipFill>
                  <pic:spPr bwMode="auto">
                    <a:xfrm>
                      <a:off x="0" y="0"/>
                      <a:ext cx="5841365" cy="3930015"/>
                    </a:xfrm>
                    <a:prstGeom prst="rect">
                      <a:avLst/>
                    </a:prstGeom>
                    <a:noFill/>
                    <a:ln w="9525" cmpd="sng">
                      <a:noFill/>
                      <a:miter lim="800000"/>
                      <a:headEnd/>
                      <a:tailEnd/>
                    </a:ln>
                  </pic:spPr>
                </pic:pic>
              </a:graphicData>
            </a:graphic>
          </wp:anchor>
        </w:drawing>
      </w: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jc w:val="center"/>
        <w:rPr>
          <w:rFonts w:ascii="楷体_GB2312" w:eastAsia="楷体_GB2312" w:hAnsi="楷体_GB2312" w:cs="楷体_GB2312"/>
          <w:b/>
          <w:bCs/>
          <w:sz w:val="32"/>
          <w:szCs w:val="32"/>
        </w:rPr>
      </w:pPr>
    </w:p>
    <w:p w:rsidR="00000000" w:rsidRDefault="00250BDB">
      <w:pPr>
        <w:spacing w:line="480" w:lineRule="auto"/>
        <w:rPr>
          <w:rFonts w:ascii="楷体_GB2312" w:eastAsia="楷体_GB2312" w:hAnsi="楷体_GB2312" w:cs="楷体_GB2312"/>
          <w:b/>
          <w:bCs/>
          <w:sz w:val="32"/>
          <w:szCs w:val="32"/>
        </w:rPr>
        <w:sectPr w:rsidR="00000000">
          <w:headerReference w:type="even" r:id="rId10"/>
          <w:headerReference w:type="default" r:id="rId11"/>
          <w:footerReference w:type="even" r:id="rId12"/>
          <w:footerReference w:type="default" r:id="rId13"/>
          <w:headerReference w:type="first" r:id="rId14"/>
          <w:footerReference w:type="first" r:id="rId15"/>
          <w:pgSz w:w="11906" w:h="16838"/>
          <w:pgMar w:top="1440" w:right="1797" w:bottom="1440" w:left="1797" w:header="851" w:footer="992" w:gutter="0"/>
          <w:pgNumType w:fmt="upperRoman"/>
          <w:cols w:space="720"/>
          <w:titlePg/>
          <w:docGrid w:type="lines" w:linePitch="312"/>
        </w:sectPr>
      </w:pPr>
      <w:r>
        <w:rPr>
          <w:rFonts w:ascii="楷体_GB2312" w:eastAsia="楷体_GB2312" w:hAnsi="楷体_GB2312" w:cs="楷体_GB2312"/>
          <w:b/>
          <w:bCs/>
          <w:sz w:val="32"/>
          <w:szCs w:val="32"/>
        </w:rPr>
        <w:pict>
          <v:shape id="Text Box 9" o:spid="_x0000_s1028" type="#_x0000_t202" style="position:absolute;left:0;text-align:left;margin-left:247.55pt;margin-top:.65pt;width:188.1pt;height:40.85pt;z-index:251660288" stroked="f">
            <v:fill opacity="0"/>
            <v:textbox>
              <w:txbxContent>
                <w:p w:rsidR="00000000" w:rsidRDefault="00250BDB">
                  <w:r>
                    <w:rPr>
                      <w:rFonts w:ascii="宋体" w:hAnsi="宋体" w:hint="eastAsia"/>
                      <w:b/>
                      <w:bCs/>
                      <w:sz w:val="44"/>
                      <w:szCs w:val="44"/>
                    </w:rPr>
                    <w:t>二○一六年一月</w:t>
                  </w:r>
                </w:p>
              </w:txbxContent>
            </v:textbox>
          </v:shape>
        </w:pict>
      </w:r>
    </w:p>
    <w:p w:rsidR="00000000" w:rsidRDefault="00250BDB">
      <w:pPr>
        <w:spacing w:line="480" w:lineRule="auto"/>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前</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言</w:t>
      </w:r>
    </w:p>
    <w:p w:rsidR="00000000" w:rsidRDefault="00250BDB">
      <w:pPr>
        <w:shd w:val="clear" w:color="auto" w:fill="FFFFFF"/>
        <w:spacing w:line="680" w:lineRule="exact"/>
        <w:ind w:firstLineChars="200" w:firstLine="560"/>
        <w:rPr>
          <w:rFonts w:ascii="楷体_GB2312" w:eastAsia="楷体_GB2312" w:hAnsi="楷体_GB2312" w:cs="楷体_GB2312"/>
          <w:bCs/>
          <w:kern w:val="0"/>
          <w:sz w:val="28"/>
          <w:szCs w:val="28"/>
        </w:rPr>
      </w:pPr>
      <w:r>
        <w:rPr>
          <w:rFonts w:ascii="楷体_GB2312" w:eastAsia="楷体_GB2312" w:hAnsi="楷体_GB2312" w:cs="楷体_GB2312" w:hint="eastAsia"/>
          <w:bCs/>
          <w:kern w:val="0"/>
          <w:sz w:val="28"/>
          <w:szCs w:val="28"/>
        </w:rPr>
        <w:t>南通大学杏林学院前身为南通医学院杏林学院，始建于</w:t>
      </w:r>
      <w:r>
        <w:rPr>
          <w:rFonts w:ascii="楷体_GB2312" w:eastAsia="楷体_GB2312" w:hAnsi="楷体_GB2312" w:cs="楷体_GB2312" w:hint="eastAsia"/>
          <w:bCs/>
          <w:kern w:val="0"/>
          <w:sz w:val="28"/>
          <w:szCs w:val="28"/>
        </w:rPr>
        <w:t>1999</w:t>
      </w:r>
      <w:r>
        <w:rPr>
          <w:rFonts w:ascii="楷体_GB2312" w:eastAsia="楷体_GB2312" w:hAnsi="楷体_GB2312" w:cs="楷体_GB2312" w:hint="eastAsia"/>
          <w:bCs/>
          <w:kern w:val="0"/>
          <w:sz w:val="28"/>
          <w:szCs w:val="28"/>
        </w:rPr>
        <w:t>年</w:t>
      </w:r>
      <w:r>
        <w:rPr>
          <w:rFonts w:ascii="楷体_GB2312" w:eastAsia="楷体_GB2312" w:hAnsi="楷体_GB2312" w:cs="楷体_GB2312" w:hint="eastAsia"/>
          <w:bCs/>
          <w:kern w:val="0"/>
          <w:sz w:val="28"/>
          <w:szCs w:val="28"/>
        </w:rPr>
        <w:t>2</w:t>
      </w:r>
      <w:r>
        <w:rPr>
          <w:rFonts w:ascii="楷体_GB2312" w:eastAsia="楷体_GB2312" w:hAnsi="楷体_GB2312" w:cs="楷体_GB2312" w:hint="eastAsia"/>
          <w:bCs/>
          <w:kern w:val="0"/>
          <w:sz w:val="28"/>
          <w:szCs w:val="28"/>
        </w:rPr>
        <w:t>月。</w:t>
      </w:r>
      <w:r>
        <w:rPr>
          <w:rFonts w:ascii="楷体_GB2312" w:eastAsia="楷体_GB2312" w:hAnsi="楷体_GB2312" w:cs="楷体_GB2312" w:hint="eastAsia"/>
          <w:bCs/>
          <w:kern w:val="0"/>
          <w:sz w:val="28"/>
          <w:szCs w:val="28"/>
        </w:rPr>
        <w:t>2004</w:t>
      </w:r>
      <w:r>
        <w:rPr>
          <w:rFonts w:ascii="楷体_GB2312" w:eastAsia="楷体_GB2312" w:hAnsi="楷体_GB2312" w:cs="楷体_GB2312" w:hint="eastAsia"/>
          <w:bCs/>
          <w:kern w:val="0"/>
          <w:sz w:val="28"/>
          <w:szCs w:val="28"/>
        </w:rPr>
        <w:t>年</w:t>
      </w:r>
      <w:r>
        <w:rPr>
          <w:rFonts w:ascii="楷体_GB2312" w:eastAsia="楷体_GB2312" w:hAnsi="楷体_GB2312" w:cs="楷体_GB2312" w:hint="eastAsia"/>
          <w:bCs/>
          <w:kern w:val="0"/>
          <w:sz w:val="28"/>
          <w:szCs w:val="28"/>
        </w:rPr>
        <w:t>5</w:t>
      </w:r>
      <w:r>
        <w:rPr>
          <w:rFonts w:ascii="楷体_GB2312" w:eastAsia="楷体_GB2312" w:hAnsi="楷体_GB2312" w:cs="楷体_GB2312" w:hint="eastAsia"/>
          <w:bCs/>
          <w:kern w:val="0"/>
          <w:sz w:val="28"/>
          <w:szCs w:val="28"/>
        </w:rPr>
        <w:t>月，在南通医学院、南通工学院和南通师范学院合并组建南通大学后，学院更名为南通大学杏林学院，</w:t>
      </w:r>
      <w:r>
        <w:rPr>
          <w:rFonts w:ascii="楷体_GB2312" w:eastAsia="楷体_GB2312" w:hAnsi="楷体_GB2312" w:cs="楷体_GB2312" w:hint="eastAsia"/>
          <w:bCs/>
          <w:kern w:val="0"/>
          <w:sz w:val="28"/>
          <w:szCs w:val="28"/>
        </w:rPr>
        <w:t>2005</w:t>
      </w:r>
      <w:r>
        <w:rPr>
          <w:rFonts w:ascii="楷体_GB2312" w:eastAsia="楷体_GB2312" w:hAnsi="楷体_GB2312" w:cs="楷体_GB2312" w:hint="eastAsia"/>
          <w:bCs/>
          <w:kern w:val="0"/>
          <w:sz w:val="28"/>
          <w:szCs w:val="28"/>
        </w:rPr>
        <w:t>年</w:t>
      </w:r>
      <w:r>
        <w:rPr>
          <w:rFonts w:ascii="楷体_GB2312" w:eastAsia="楷体_GB2312" w:hAnsi="楷体_GB2312" w:cs="楷体_GB2312" w:hint="eastAsia"/>
          <w:bCs/>
          <w:kern w:val="0"/>
          <w:sz w:val="28"/>
          <w:szCs w:val="28"/>
        </w:rPr>
        <w:t>5</w:t>
      </w:r>
      <w:r>
        <w:rPr>
          <w:rFonts w:ascii="楷体_GB2312" w:eastAsia="楷体_GB2312" w:hAnsi="楷体_GB2312" w:cs="楷体_GB2312" w:hint="eastAsia"/>
          <w:bCs/>
          <w:kern w:val="0"/>
          <w:sz w:val="28"/>
          <w:szCs w:val="28"/>
        </w:rPr>
        <w:t>月经教育部批准转办为独立学院。</w:t>
      </w:r>
    </w:p>
    <w:p w:rsidR="00000000" w:rsidRDefault="00250BDB">
      <w:pPr>
        <w:shd w:val="clear" w:color="auto" w:fill="FFFFFF"/>
        <w:spacing w:line="680" w:lineRule="exact"/>
        <w:ind w:firstLineChars="200" w:firstLine="560"/>
        <w:rPr>
          <w:rFonts w:ascii="楷体_GB2312" w:eastAsia="楷体_GB2312" w:hAnsi="楷体_GB2312" w:cs="楷体_GB2312"/>
          <w:bCs/>
          <w:kern w:val="0"/>
          <w:sz w:val="28"/>
          <w:szCs w:val="28"/>
        </w:rPr>
      </w:pPr>
      <w:r>
        <w:rPr>
          <w:rFonts w:ascii="楷体_GB2312" w:eastAsia="楷体_GB2312" w:hAnsi="楷体_GB2312" w:cs="楷体_GB2312" w:hint="eastAsia"/>
          <w:bCs/>
          <w:kern w:val="0"/>
          <w:sz w:val="28"/>
          <w:szCs w:val="28"/>
        </w:rPr>
        <w:t>学院根据学科门类和专业相近、相似原则，成立了</w:t>
      </w:r>
      <w:r>
        <w:rPr>
          <w:rFonts w:ascii="楷体_GB2312" w:eastAsia="楷体_GB2312" w:hAnsi="楷体_GB2312" w:cs="楷体_GB2312" w:hint="eastAsia"/>
          <w:bCs/>
          <w:kern w:val="0"/>
          <w:sz w:val="28"/>
          <w:szCs w:val="28"/>
        </w:rPr>
        <w:t>6</w:t>
      </w:r>
      <w:r>
        <w:rPr>
          <w:rFonts w:ascii="楷体_GB2312" w:eastAsia="楷体_GB2312" w:hAnsi="楷体_GB2312" w:cs="楷体_GB2312" w:hint="eastAsia"/>
          <w:bCs/>
          <w:kern w:val="0"/>
          <w:sz w:val="28"/>
          <w:szCs w:val="28"/>
        </w:rPr>
        <w:t>个专业学部，分别是人文学部、理学部、经济与管理学部、信息科学部、工程学部、医学部。</w:t>
      </w:r>
    </w:p>
    <w:p w:rsidR="00000000" w:rsidRDefault="00250BDB">
      <w:pPr>
        <w:shd w:val="clear" w:color="auto" w:fill="FFFFFF"/>
        <w:spacing w:line="68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我院认真贯彻国家和省高校毕业生就业工作要求，紧密结合独立学院实际，拓展工作思路，</w:t>
      </w:r>
      <w:r>
        <w:rPr>
          <w:rFonts w:ascii="楷体_GB2312" w:eastAsia="楷体_GB2312" w:hAnsi="楷体_GB2312" w:cs="楷体_GB2312" w:hint="eastAsia"/>
          <w:kern w:val="0"/>
          <w:sz w:val="28"/>
          <w:szCs w:val="28"/>
        </w:rPr>
        <w:t>形成了“以培养应用</w:t>
      </w:r>
      <w:r>
        <w:rPr>
          <w:rFonts w:ascii="楷体_GB2312" w:eastAsia="楷体_GB2312" w:hAnsi="楷体_GB2312" w:cs="楷体_GB2312" w:hint="eastAsia"/>
          <w:kern w:val="0"/>
          <w:sz w:val="28"/>
          <w:szCs w:val="28"/>
        </w:rPr>
        <w:t>型人才为目标、以教育教学改革为依托、以创新创业教育为抓手、以促进大学生充分就业为目标”的就业工作理念，通过</w:t>
      </w:r>
      <w:r>
        <w:rPr>
          <w:rFonts w:ascii="楷体_GB2312" w:eastAsia="楷体_GB2312" w:hAnsi="楷体_GB2312" w:cs="楷体_GB2312" w:hint="eastAsia"/>
          <w:sz w:val="28"/>
          <w:szCs w:val="28"/>
        </w:rPr>
        <w:t>不断健全和完善就业创业指导和服务体系，多方开拓就业市场，积极拓宽就业渠道，毕业生就业率稳中有升，其中协议就业率有了明显提升，毕业生就业质量不断提高。</w:t>
      </w:r>
    </w:p>
    <w:p w:rsidR="00000000" w:rsidRDefault="00250BDB">
      <w:pPr>
        <w:spacing w:line="680" w:lineRule="exact"/>
        <w:ind w:firstLineChars="150" w:firstLine="420"/>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撰写《南通大学杏林学院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届毕业生就业质量报告》，目的是为总结我院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届毕业生就业工作，分析当前就业形势、毕业生就业去向和从业结构与特点等。同时，通过同期比较，报告我院就业工作开展的思路和做法，为今后更好开展工作提供借鉴。</w:t>
      </w:r>
    </w:p>
    <w:p w:rsidR="00000000" w:rsidRDefault="00250BDB">
      <w:pPr>
        <w:spacing w:line="480" w:lineRule="auto"/>
        <w:rPr>
          <w:rFonts w:ascii="楷体_GB2312" w:eastAsia="楷体_GB2312" w:hAnsi="楷体_GB2312" w:cs="楷体_GB2312"/>
          <w:sz w:val="28"/>
          <w:szCs w:val="28"/>
        </w:rPr>
      </w:pPr>
    </w:p>
    <w:p w:rsidR="00000000" w:rsidRDefault="00250BDB">
      <w:pPr>
        <w:spacing w:line="400" w:lineRule="exact"/>
        <w:rPr>
          <w:rFonts w:ascii="楷体_GB2312" w:eastAsia="楷体_GB2312" w:hAnsi="楷体_GB2312" w:cs="楷体_GB2312"/>
          <w:b/>
          <w:sz w:val="36"/>
          <w:szCs w:val="36"/>
        </w:rPr>
      </w:pPr>
    </w:p>
    <w:p w:rsidR="00000000" w:rsidRDefault="00250BDB">
      <w:pPr>
        <w:spacing w:line="400" w:lineRule="exact"/>
        <w:rPr>
          <w:rFonts w:ascii="楷体_GB2312" w:eastAsia="楷体_GB2312" w:hAnsi="楷体_GB2312" w:cs="楷体_GB2312"/>
          <w:b/>
          <w:sz w:val="36"/>
          <w:szCs w:val="36"/>
        </w:rPr>
      </w:pPr>
    </w:p>
    <w:p w:rsidR="00000000" w:rsidRDefault="00250BDB">
      <w:pPr>
        <w:spacing w:line="480" w:lineRule="exact"/>
        <w:jc w:val="center"/>
        <w:rPr>
          <w:rFonts w:ascii="楷体_GB2312" w:eastAsia="楷体_GB2312" w:hAnsi="楷体_GB2312" w:cs="楷体_GB2312"/>
          <w:b/>
          <w:sz w:val="36"/>
          <w:szCs w:val="36"/>
        </w:rPr>
      </w:pPr>
      <w:r>
        <w:rPr>
          <w:rFonts w:ascii="楷体_GB2312" w:eastAsia="楷体_GB2312" w:hAnsi="楷体_GB2312" w:cs="楷体_GB2312" w:hint="eastAsia"/>
          <w:b/>
          <w:sz w:val="36"/>
          <w:szCs w:val="36"/>
        </w:rPr>
        <w:lastRenderedPageBreak/>
        <w:t>目</w:t>
      </w:r>
      <w:r>
        <w:rPr>
          <w:rFonts w:ascii="楷体_GB2312" w:eastAsia="楷体_GB2312" w:hAnsi="楷体_GB2312" w:cs="楷体_GB2312" w:hint="eastAsia"/>
          <w:b/>
          <w:sz w:val="36"/>
          <w:szCs w:val="36"/>
        </w:rPr>
        <w:t xml:space="preserve">  </w:t>
      </w:r>
      <w:r>
        <w:rPr>
          <w:rFonts w:ascii="楷体_GB2312" w:eastAsia="楷体_GB2312" w:hAnsi="楷体_GB2312" w:cs="楷体_GB2312" w:hint="eastAsia"/>
          <w:b/>
          <w:sz w:val="36"/>
          <w:szCs w:val="36"/>
        </w:rPr>
        <w:t>录</w:t>
      </w:r>
    </w:p>
    <w:p w:rsidR="00000000" w:rsidRDefault="00250BDB">
      <w:pPr>
        <w:spacing w:line="480" w:lineRule="exact"/>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第一部</w:t>
      </w:r>
      <w:r>
        <w:rPr>
          <w:rFonts w:ascii="楷体_GB2312" w:eastAsia="楷体_GB2312" w:hAnsi="楷体_GB2312" w:cs="楷体_GB2312" w:hint="eastAsia"/>
          <w:b/>
          <w:sz w:val="32"/>
          <w:szCs w:val="32"/>
        </w:rPr>
        <w:t>分</w:t>
      </w: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sz w:val="32"/>
          <w:szCs w:val="32"/>
        </w:rPr>
        <w:t>毕业生就业基本情况</w:t>
      </w:r>
      <w:r>
        <w:rPr>
          <w:rFonts w:ascii="楷体_GB2312" w:eastAsia="楷体_GB2312" w:hAnsi="楷体_GB2312" w:cs="楷体_GB2312" w:hint="eastAsia"/>
          <w:b/>
          <w:sz w:val="32"/>
          <w:szCs w:val="32"/>
        </w:rPr>
        <w:t xml:space="preserve">...................... 1  </w:t>
      </w:r>
    </w:p>
    <w:p w:rsidR="00000000" w:rsidRDefault="00250BDB">
      <w:pPr>
        <w:spacing w:line="480" w:lineRule="exact"/>
        <w:ind w:firstLineChars="250" w:firstLine="70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一、毕业生人数</w:t>
      </w:r>
      <w:r>
        <w:rPr>
          <w:rFonts w:ascii="楷体_GB2312" w:eastAsia="楷体_GB2312" w:hAnsi="楷体_GB2312" w:cs="楷体_GB2312" w:hint="eastAsia"/>
          <w:sz w:val="28"/>
          <w:szCs w:val="28"/>
        </w:rPr>
        <w:t>...................................... .1</w:t>
      </w:r>
    </w:p>
    <w:p w:rsidR="00000000" w:rsidRDefault="00250BDB">
      <w:pPr>
        <w:spacing w:line="480" w:lineRule="exact"/>
        <w:ind w:firstLineChars="250" w:firstLine="70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二、毕业生的结构组成</w:t>
      </w:r>
      <w:r>
        <w:rPr>
          <w:rFonts w:ascii="楷体_GB2312" w:eastAsia="楷体_GB2312" w:hAnsi="楷体_GB2312" w:cs="楷体_GB2312" w:hint="eastAsia"/>
          <w:sz w:val="28"/>
          <w:szCs w:val="28"/>
        </w:rPr>
        <w:t>................................. 1</w:t>
      </w:r>
    </w:p>
    <w:p w:rsidR="00000000" w:rsidRDefault="00250BDB">
      <w:pPr>
        <w:spacing w:line="480" w:lineRule="exact"/>
        <w:ind w:left="1277"/>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（一）各学部毕业生分布情况</w:t>
      </w:r>
      <w:r>
        <w:rPr>
          <w:rFonts w:ascii="楷体_GB2312" w:eastAsia="楷体_GB2312" w:hAnsi="楷体_GB2312" w:cs="楷体_GB2312" w:hint="eastAsia"/>
          <w:sz w:val="28"/>
          <w:szCs w:val="28"/>
        </w:rPr>
        <w:t>........................1</w:t>
      </w:r>
    </w:p>
    <w:p w:rsidR="00000000" w:rsidRDefault="00250BDB">
      <w:pPr>
        <w:spacing w:line="480" w:lineRule="exact"/>
        <w:ind w:left="1277"/>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（二）毕业生性别结构</w:t>
      </w:r>
      <w:r>
        <w:rPr>
          <w:rFonts w:ascii="楷体_GB2312" w:eastAsia="楷体_GB2312" w:hAnsi="楷体_GB2312" w:cs="楷体_GB2312" w:hint="eastAsia"/>
          <w:sz w:val="28"/>
          <w:szCs w:val="28"/>
        </w:rPr>
        <w:t>........................... .. 2</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（三）毕业生生源地分布</w:t>
      </w:r>
      <w:r>
        <w:rPr>
          <w:rFonts w:ascii="楷体_GB2312" w:eastAsia="楷体_GB2312" w:hAnsi="楷体_GB2312" w:cs="楷体_GB2312" w:hint="eastAsia"/>
          <w:sz w:val="28"/>
          <w:szCs w:val="28"/>
        </w:rPr>
        <w:t>......... ................. .</w:t>
      </w:r>
      <w:r>
        <w:rPr>
          <w:rFonts w:ascii="楷体_GB2312" w:eastAsia="楷体_GB2312" w:hAnsi="楷体_GB2312" w:cs="楷体_GB2312" w:hint="eastAsia"/>
          <w:sz w:val="28"/>
          <w:szCs w:val="28"/>
        </w:rPr>
        <w:t>4</w:t>
      </w:r>
    </w:p>
    <w:p w:rsidR="00000000" w:rsidRDefault="00250BDB">
      <w:pPr>
        <w:pStyle w:val="a7"/>
        <w:spacing w:line="480" w:lineRule="exact"/>
        <w:ind w:firstLineChars="250" w:firstLine="700"/>
        <w:jc w:val="left"/>
        <w:rPr>
          <w:rFonts w:ascii="楷体_GB2312" w:eastAsia="楷体_GB2312" w:hAnsi="楷体_GB2312" w:cs="楷体_GB2312"/>
          <w:bCs/>
          <w:sz w:val="28"/>
          <w:szCs w:val="28"/>
        </w:rPr>
      </w:pPr>
      <w:r>
        <w:rPr>
          <w:rFonts w:ascii="楷体_GB2312" w:eastAsia="楷体_GB2312" w:hAnsi="楷体_GB2312" w:cs="楷体_GB2312" w:hint="eastAsia"/>
          <w:bCs/>
          <w:sz w:val="28"/>
          <w:szCs w:val="28"/>
        </w:rPr>
        <w:t>三、</w:t>
      </w:r>
      <w:r>
        <w:rPr>
          <w:rFonts w:ascii="楷体_GB2312" w:eastAsia="楷体_GB2312" w:hAnsi="楷体_GB2312" w:cs="楷体_GB2312" w:hint="eastAsia"/>
          <w:sz w:val="28"/>
          <w:szCs w:val="28"/>
        </w:rPr>
        <w:t>就业率</w:t>
      </w:r>
      <w:r>
        <w:rPr>
          <w:rFonts w:ascii="楷体_GB2312" w:eastAsia="楷体_GB2312" w:hAnsi="楷体_GB2312" w:cs="楷体_GB2312" w:hint="eastAsia"/>
          <w:sz w:val="28"/>
          <w:szCs w:val="28"/>
        </w:rPr>
        <w:t>.................... .................... ..</w:t>
      </w:r>
      <w:r>
        <w:rPr>
          <w:rFonts w:ascii="楷体_GB2312" w:eastAsia="楷体_GB2312" w:hAnsi="楷体_GB2312" w:cs="楷体_GB2312" w:hint="eastAsia"/>
          <w:bCs/>
          <w:sz w:val="28"/>
          <w:szCs w:val="28"/>
        </w:rPr>
        <w:t>6</w:t>
      </w:r>
    </w:p>
    <w:p w:rsidR="00000000" w:rsidRDefault="00250BDB">
      <w:pPr>
        <w:spacing w:line="480" w:lineRule="exact"/>
        <w:ind w:left="1277"/>
        <w:jc w:val="left"/>
        <w:rPr>
          <w:rFonts w:ascii="楷体_GB2312" w:eastAsia="楷体_GB2312" w:hAnsi="楷体_GB2312" w:cs="楷体_GB2312"/>
          <w:bCs/>
          <w:sz w:val="28"/>
          <w:szCs w:val="28"/>
        </w:rPr>
      </w:pPr>
      <w:r>
        <w:rPr>
          <w:rFonts w:ascii="楷体_GB2312" w:eastAsia="楷体_GB2312" w:hAnsi="楷体_GB2312" w:cs="楷体_GB2312" w:hint="eastAsia"/>
          <w:bCs/>
          <w:sz w:val="28"/>
          <w:szCs w:val="28"/>
        </w:rPr>
        <w:t>（一）毕业生总体就业率</w:t>
      </w:r>
      <w:r>
        <w:rPr>
          <w:rFonts w:ascii="楷体_GB2312" w:eastAsia="楷体_GB2312" w:hAnsi="楷体_GB2312" w:cs="楷体_GB2312" w:hint="eastAsia"/>
          <w:sz w:val="28"/>
          <w:szCs w:val="28"/>
        </w:rPr>
        <w:t>............................</w:t>
      </w:r>
      <w:r>
        <w:rPr>
          <w:rFonts w:ascii="楷体_GB2312" w:eastAsia="楷体_GB2312" w:hAnsi="楷体_GB2312" w:cs="楷体_GB2312" w:hint="eastAsia"/>
          <w:bCs/>
          <w:sz w:val="28"/>
          <w:szCs w:val="28"/>
        </w:rPr>
        <w:t>6</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（二）各专业就业率</w:t>
      </w:r>
      <w:r>
        <w:rPr>
          <w:rFonts w:ascii="楷体_GB2312" w:eastAsia="楷体_GB2312" w:hAnsi="楷体_GB2312" w:cs="楷体_GB2312" w:hint="eastAsia"/>
          <w:sz w:val="28"/>
          <w:szCs w:val="28"/>
        </w:rPr>
        <w:t>.... ...........................7</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（三）不同性别毕业生就业率统计分析</w:t>
      </w:r>
      <w:r>
        <w:rPr>
          <w:rFonts w:ascii="楷体_GB2312" w:eastAsia="楷体_GB2312" w:hAnsi="楷体_GB2312" w:cs="楷体_GB2312" w:hint="eastAsia"/>
          <w:sz w:val="28"/>
          <w:szCs w:val="28"/>
        </w:rPr>
        <w:t>............ ...8</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（四）不同生源地区毕业生就业率统计分析</w:t>
      </w:r>
      <w:r>
        <w:rPr>
          <w:rFonts w:ascii="楷体_GB2312" w:eastAsia="楷体_GB2312" w:hAnsi="楷体_GB2312" w:cs="楷体_GB2312" w:hint="eastAsia"/>
          <w:sz w:val="28"/>
          <w:szCs w:val="28"/>
        </w:rPr>
        <w:t>........... 9</w:t>
      </w:r>
    </w:p>
    <w:p w:rsidR="00000000" w:rsidRDefault="00250BDB">
      <w:pPr>
        <w:spacing w:line="480" w:lineRule="exact"/>
        <w:ind w:firstLineChars="250" w:firstLine="700"/>
        <w:jc w:val="left"/>
        <w:rPr>
          <w:rFonts w:ascii="楷体_GB2312" w:eastAsia="楷体_GB2312" w:hAnsi="楷体_GB2312" w:cs="楷体_GB2312"/>
          <w:sz w:val="28"/>
          <w:szCs w:val="28"/>
        </w:rPr>
      </w:pPr>
      <w:r>
        <w:rPr>
          <w:rFonts w:ascii="楷体_GB2312" w:eastAsia="楷体_GB2312" w:hAnsi="楷体_GB2312" w:cs="楷体_GB2312" w:hint="eastAsia"/>
          <w:bCs/>
          <w:sz w:val="28"/>
          <w:szCs w:val="28"/>
        </w:rPr>
        <w:t>四、毕业流向</w:t>
      </w:r>
      <w:r>
        <w:rPr>
          <w:rFonts w:ascii="楷体_GB2312" w:eastAsia="楷体_GB2312" w:hAnsi="楷体_GB2312" w:cs="楷体_GB2312" w:hint="eastAsia"/>
          <w:sz w:val="28"/>
          <w:szCs w:val="28"/>
        </w:rPr>
        <w:t>........................ .......... .....</w:t>
      </w:r>
      <w:r>
        <w:rPr>
          <w:rFonts w:ascii="楷体_GB2312" w:eastAsia="楷体_GB2312" w:hAnsi="楷体_GB2312" w:cs="楷体_GB2312" w:hint="eastAsia"/>
          <w:bCs/>
          <w:sz w:val="28"/>
          <w:szCs w:val="28"/>
        </w:rPr>
        <w:t>10</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一）毕业生总体的流向</w:t>
      </w:r>
      <w:r>
        <w:rPr>
          <w:rFonts w:ascii="楷体_GB2312" w:eastAsia="楷体_GB2312" w:hAnsi="楷体_GB2312" w:cs="楷体_GB2312" w:hint="eastAsia"/>
          <w:sz w:val="28"/>
          <w:szCs w:val="28"/>
        </w:rPr>
        <w:t>... .......................10</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1</w:t>
      </w:r>
      <w:r>
        <w:rPr>
          <w:rFonts w:ascii="楷体_GB2312" w:eastAsia="楷体_GB2312" w:hAnsi="楷体_GB2312" w:cs="楷体_GB2312" w:hint="eastAsia"/>
          <w:sz w:val="28"/>
          <w:szCs w:val="28"/>
        </w:rPr>
        <w:t>、单位就业情况</w:t>
      </w:r>
      <w:r>
        <w:rPr>
          <w:rFonts w:ascii="楷体_GB2312" w:eastAsia="楷体_GB2312" w:hAnsi="楷体_GB2312" w:cs="楷体_GB2312" w:hint="eastAsia"/>
          <w:sz w:val="28"/>
          <w:szCs w:val="28"/>
        </w:rPr>
        <w:t>............................10</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2</w:t>
      </w:r>
      <w:r>
        <w:rPr>
          <w:rFonts w:ascii="楷体_GB2312" w:eastAsia="楷体_GB2312" w:hAnsi="楷体_GB2312" w:cs="楷体_GB2312" w:hint="eastAsia"/>
          <w:sz w:val="28"/>
          <w:szCs w:val="28"/>
        </w:rPr>
        <w:t>、升学出国情况</w:t>
      </w:r>
      <w:r>
        <w:rPr>
          <w:rFonts w:ascii="楷体_GB2312" w:eastAsia="楷体_GB2312" w:hAnsi="楷体_GB2312" w:cs="楷体_GB2312" w:hint="eastAsia"/>
          <w:sz w:val="28"/>
          <w:szCs w:val="28"/>
        </w:rPr>
        <w:t>............................11</w:t>
      </w:r>
    </w:p>
    <w:p w:rsidR="00000000" w:rsidRDefault="00250BDB">
      <w:pPr>
        <w:spacing w:line="480" w:lineRule="exact"/>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）各学部升学出国情况</w:t>
      </w:r>
      <w:r>
        <w:rPr>
          <w:rFonts w:ascii="楷体_GB2312" w:eastAsia="楷体_GB2312" w:hAnsi="楷体_GB2312" w:cs="楷体_GB2312" w:hint="eastAsia"/>
          <w:sz w:val="28"/>
          <w:szCs w:val="28"/>
        </w:rPr>
        <w:t>.................11</w:t>
      </w:r>
    </w:p>
    <w:p w:rsidR="00000000" w:rsidRDefault="00250BDB">
      <w:pPr>
        <w:spacing w:line="480" w:lineRule="exact"/>
        <w:ind w:firstLineChars="750" w:firstLine="210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）升学出国专业与原专业一致性</w:t>
      </w:r>
      <w:r>
        <w:rPr>
          <w:rFonts w:ascii="楷体_GB2312" w:eastAsia="楷体_GB2312" w:hAnsi="楷体_GB2312" w:cs="楷体_GB2312" w:hint="eastAsia"/>
          <w:sz w:val="28"/>
          <w:szCs w:val="28"/>
        </w:rPr>
        <w:t>.........12</w:t>
      </w:r>
    </w:p>
    <w:p w:rsidR="00000000" w:rsidRDefault="00250BDB">
      <w:pPr>
        <w:spacing w:line="480" w:lineRule="exact"/>
        <w:ind w:firstLineChars="750" w:firstLine="210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）升学原因</w:t>
      </w:r>
      <w:r>
        <w:rPr>
          <w:rFonts w:ascii="楷体_GB2312" w:eastAsia="楷体_GB2312" w:hAnsi="楷体_GB2312" w:cs="楷体_GB2312" w:hint="eastAsia"/>
          <w:sz w:val="28"/>
          <w:szCs w:val="28"/>
        </w:rPr>
        <w:t>...........................12</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 xml:space="preserve"> 3</w:t>
      </w:r>
      <w:r>
        <w:rPr>
          <w:rFonts w:ascii="楷体_GB2312" w:eastAsia="楷体_GB2312" w:hAnsi="楷体_GB2312" w:cs="楷体_GB2312" w:hint="eastAsia"/>
          <w:sz w:val="28"/>
          <w:szCs w:val="28"/>
        </w:rPr>
        <w:t>、灵活就业情况</w:t>
      </w:r>
      <w:r>
        <w:rPr>
          <w:rFonts w:ascii="楷体_GB2312" w:eastAsia="楷体_GB2312" w:hAnsi="楷体_GB2312" w:cs="楷体_GB2312" w:hint="eastAsia"/>
          <w:sz w:val="28"/>
          <w:szCs w:val="28"/>
        </w:rPr>
        <w:t>.............. ....... ......13</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4</w:t>
      </w:r>
      <w:r>
        <w:rPr>
          <w:rFonts w:ascii="楷体_GB2312" w:eastAsia="楷体_GB2312" w:hAnsi="楷体_GB2312" w:cs="楷体_GB2312" w:hint="eastAsia"/>
          <w:sz w:val="28"/>
          <w:szCs w:val="28"/>
        </w:rPr>
        <w:t>、未就业情况</w:t>
      </w:r>
      <w:r>
        <w:rPr>
          <w:rFonts w:ascii="楷体_GB2312" w:eastAsia="楷体_GB2312" w:hAnsi="楷体_GB2312" w:cs="楷体_GB2312" w:hint="eastAsia"/>
          <w:sz w:val="28"/>
          <w:szCs w:val="28"/>
        </w:rPr>
        <w:t xml:space="preserve"> .............................13</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（二）不同性别毕业生的毕业流向</w:t>
      </w:r>
      <w:r>
        <w:rPr>
          <w:rFonts w:ascii="楷体_GB2312" w:eastAsia="楷体_GB2312" w:hAnsi="楷体_GB2312" w:cs="楷体_GB2312" w:hint="eastAsia"/>
          <w:sz w:val="28"/>
          <w:szCs w:val="28"/>
        </w:rPr>
        <w:t>....... ...... .....13</w:t>
      </w:r>
    </w:p>
    <w:p w:rsidR="00000000" w:rsidRDefault="00250BDB">
      <w:pPr>
        <w:spacing w:line="480" w:lineRule="exact"/>
        <w:ind w:firstLineChars="450" w:firstLine="12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（三）不同生源地区毕业生的毕业流向情况</w:t>
      </w:r>
      <w:r>
        <w:rPr>
          <w:rFonts w:ascii="楷体_GB2312" w:eastAsia="楷体_GB2312" w:hAnsi="楷体_GB2312" w:cs="楷体_GB2312" w:hint="eastAsia"/>
          <w:sz w:val="28"/>
          <w:szCs w:val="28"/>
        </w:rPr>
        <w:t>.... ......14</w:t>
      </w:r>
    </w:p>
    <w:p w:rsidR="00000000" w:rsidRDefault="00250BDB">
      <w:pPr>
        <w:spacing w:line="480" w:lineRule="exact"/>
        <w:ind w:firstLineChars="250" w:firstLine="700"/>
        <w:jc w:val="left"/>
        <w:rPr>
          <w:rFonts w:ascii="楷体_GB2312" w:eastAsia="楷体_GB2312" w:hAnsi="楷体_GB2312" w:cs="楷体_GB2312"/>
          <w:bCs/>
          <w:sz w:val="28"/>
          <w:szCs w:val="28"/>
        </w:rPr>
      </w:pPr>
      <w:r>
        <w:rPr>
          <w:rFonts w:ascii="楷体_GB2312" w:eastAsia="楷体_GB2312" w:hAnsi="楷体_GB2312" w:cs="楷体_GB2312" w:hint="eastAsia"/>
          <w:bCs/>
          <w:sz w:val="28"/>
          <w:szCs w:val="28"/>
        </w:rPr>
        <w:t>五、就业分布</w:t>
      </w:r>
      <w:r>
        <w:rPr>
          <w:rFonts w:ascii="楷体_GB2312" w:eastAsia="楷体_GB2312" w:hAnsi="楷体_GB2312" w:cs="楷体_GB2312" w:hint="eastAsia"/>
          <w:sz w:val="28"/>
          <w:szCs w:val="28"/>
        </w:rPr>
        <w:t xml:space="preserve">...................... .......... ...... </w:t>
      </w:r>
      <w:r>
        <w:rPr>
          <w:rFonts w:ascii="楷体_GB2312" w:eastAsia="楷体_GB2312" w:hAnsi="楷体_GB2312" w:cs="楷体_GB2312" w:hint="eastAsia"/>
          <w:bCs/>
          <w:sz w:val="28"/>
          <w:szCs w:val="28"/>
        </w:rPr>
        <w:t>14</w:t>
      </w:r>
    </w:p>
    <w:p w:rsidR="00000000" w:rsidRDefault="00250BDB">
      <w:pPr>
        <w:spacing w:line="480" w:lineRule="exact"/>
        <w:ind w:firstLineChars="400" w:firstLine="11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（一）毕业生就业单位统计</w:t>
      </w:r>
      <w:r>
        <w:rPr>
          <w:rFonts w:ascii="楷体_GB2312" w:eastAsia="楷体_GB2312" w:hAnsi="楷体_GB2312" w:cs="楷体_GB2312" w:hint="eastAsia"/>
          <w:sz w:val="28"/>
          <w:szCs w:val="28"/>
        </w:rPr>
        <w:t>..........................14</w:t>
      </w:r>
    </w:p>
    <w:p w:rsidR="00000000" w:rsidRDefault="00250BDB">
      <w:pPr>
        <w:spacing w:line="480" w:lineRule="exact"/>
        <w:ind w:firstLineChars="400" w:firstLine="112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（二）毕业生就</w:t>
      </w:r>
      <w:r>
        <w:rPr>
          <w:rFonts w:ascii="楷体_GB2312" w:eastAsia="楷体_GB2312" w:hAnsi="楷体_GB2312" w:cs="楷体_GB2312" w:hint="eastAsia"/>
          <w:sz w:val="28"/>
          <w:szCs w:val="28"/>
        </w:rPr>
        <w:t>业行业统计</w:t>
      </w:r>
      <w:r>
        <w:rPr>
          <w:rFonts w:ascii="楷体_GB2312" w:eastAsia="楷体_GB2312" w:hAnsi="楷体_GB2312" w:cs="楷体_GB2312" w:hint="eastAsia"/>
          <w:sz w:val="28"/>
          <w:szCs w:val="28"/>
        </w:rPr>
        <w:t>..........................15</w:t>
      </w:r>
    </w:p>
    <w:p w:rsidR="00000000" w:rsidRDefault="00250BDB">
      <w:pPr>
        <w:spacing w:line="480" w:lineRule="exact"/>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第二部分</w:t>
      </w:r>
      <w:r>
        <w:rPr>
          <w:rFonts w:ascii="楷体_GB2312" w:eastAsia="楷体_GB2312" w:hAnsi="楷体_GB2312" w:cs="楷体_GB2312" w:hint="eastAsia"/>
          <w:b/>
          <w:bCs/>
          <w:sz w:val="32"/>
          <w:szCs w:val="32"/>
        </w:rPr>
        <w:t xml:space="preserve">  </w:t>
      </w:r>
      <w:r>
        <w:rPr>
          <w:rFonts w:ascii="楷体_GB2312" w:eastAsia="楷体_GB2312" w:hAnsi="楷体_GB2312" w:cs="楷体_GB2312" w:hint="eastAsia"/>
          <w:b/>
          <w:bCs/>
          <w:sz w:val="32"/>
          <w:szCs w:val="32"/>
        </w:rPr>
        <w:t>毕业生就业工作举措</w:t>
      </w: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bCs/>
          <w:sz w:val="32"/>
          <w:szCs w:val="32"/>
        </w:rPr>
        <w:t>17</w:t>
      </w:r>
    </w:p>
    <w:p w:rsidR="00000000" w:rsidRDefault="00250BDB">
      <w:pPr>
        <w:pStyle w:val="a7"/>
        <w:spacing w:line="480" w:lineRule="exact"/>
        <w:ind w:firstLineChars="250" w:firstLine="700"/>
        <w:rPr>
          <w:rFonts w:ascii="楷体_GB2312" w:eastAsia="楷体_GB2312" w:hAnsi="楷体_GB2312" w:cs="楷体_GB2312"/>
          <w:bCs/>
          <w:sz w:val="28"/>
          <w:szCs w:val="28"/>
        </w:rPr>
      </w:pPr>
      <w:r>
        <w:rPr>
          <w:rFonts w:ascii="楷体_GB2312" w:eastAsia="楷体_GB2312" w:hAnsi="楷体_GB2312" w:cs="楷体_GB2312" w:hint="eastAsia"/>
          <w:bCs/>
          <w:sz w:val="28"/>
          <w:szCs w:val="28"/>
        </w:rPr>
        <w:t>一、健全机制，全员育人</w:t>
      </w:r>
      <w:r>
        <w:rPr>
          <w:rFonts w:ascii="楷体_GB2312" w:eastAsia="楷体_GB2312" w:hAnsi="楷体_GB2312" w:cs="楷体_GB2312" w:hint="eastAsia"/>
          <w:sz w:val="28"/>
          <w:szCs w:val="28"/>
        </w:rPr>
        <w:t>...................... .........</w:t>
      </w:r>
      <w:r>
        <w:rPr>
          <w:rFonts w:ascii="楷体_GB2312" w:eastAsia="楷体_GB2312" w:hAnsi="楷体_GB2312" w:cs="楷体_GB2312" w:hint="eastAsia"/>
          <w:bCs/>
          <w:sz w:val="28"/>
          <w:szCs w:val="28"/>
        </w:rPr>
        <w:t>17</w:t>
      </w:r>
    </w:p>
    <w:p w:rsidR="00000000" w:rsidRDefault="00250BDB">
      <w:pPr>
        <w:pStyle w:val="a7"/>
        <w:autoSpaceDE w:val="0"/>
        <w:autoSpaceDN w:val="0"/>
        <w:adjustRightInd w:val="0"/>
        <w:spacing w:line="480" w:lineRule="exact"/>
        <w:ind w:firstLineChars="250" w:firstLine="700"/>
        <w:jc w:val="left"/>
        <w:rPr>
          <w:rFonts w:ascii="楷体_GB2312" w:eastAsia="楷体_GB2312" w:hAnsi="楷体_GB2312" w:cs="楷体_GB2312"/>
          <w:bCs/>
          <w:kern w:val="0"/>
          <w:sz w:val="28"/>
          <w:szCs w:val="28"/>
        </w:rPr>
      </w:pPr>
      <w:r>
        <w:rPr>
          <w:rFonts w:ascii="楷体_GB2312" w:eastAsia="楷体_GB2312" w:hAnsi="楷体_GB2312" w:cs="楷体_GB2312" w:hint="eastAsia"/>
          <w:bCs/>
          <w:sz w:val="28"/>
          <w:szCs w:val="28"/>
        </w:rPr>
        <w:lastRenderedPageBreak/>
        <w:t>二、深化职业生涯规划教育，</w:t>
      </w:r>
      <w:r>
        <w:rPr>
          <w:rFonts w:ascii="楷体_GB2312" w:eastAsia="楷体_GB2312" w:hAnsi="楷体_GB2312" w:cs="楷体_GB2312" w:hint="eastAsia"/>
          <w:bCs/>
          <w:kern w:val="0"/>
          <w:sz w:val="28"/>
          <w:szCs w:val="28"/>
        </w:rPr>
        <w:t>大力提升学生就业能力</w:t>
      </w:r>
      <w:r>
        <w:rPr>
          <w:rFonts w:ascii="楷体_GB2312" w:eastAsia="楷体_GB2312" w:hAnsi="楷体_GB2312" w:cs="楷体_GB2312" w:hint="eastAsia"/>
          <w:sz w:val="28"/>
          <w:szCs w:val="28"/>
        </w:rPr>
        <w:t>...... .</w:t>
      </w:r>
      <w:r>
        <w:rPr>
          <w:rFonts w:ascii="楷体_GB2312" w:eastAsia="楷体_GB2312" w:hAnsi="楷体_GB2312" w:cs="楷体_GB2312" w:hint="eastAsia"/>
          <w:bCs/>
          <w:kern w:val="0"/>
          <w:sz w:val="28"/>
          <w:szCs w:val="28"/>
        </w:rPr>
        <w:t>17</w:t>
      </w:r>
    </w:p>
    <w:p w:rsidR="00000000" w:rsidRDefault="00250BDB">
      <w:pPr>
        <w:pStyle w:val="a7"/>
        <w:spacing w:line="480" w:lineRule="exact"/>
        <w:ind w:firstLineChars="250" w:firstLine="700"/>
        <w:rPr>
          <w:rFonts w:ascii="楷体_GB2312" w:eastAsia="楷体_GB2312" w:hAnsi="楷体_GB2312" w:cs="楷体_GB2312" w:hint="eastAsia"/>
          <w:sz w:val="28"/>
          <w:szCs w:val="28"/>
        </w:rPr>
      </w:pPr>
      <w:r>
        <w:rPr>
          <w:rFonts w:ascii="楷体_GB2312" w:eastAsia="楷体_GB2312" w:hAnsi="楷体_GB2312" w:cs="楷体_GB2312" w:hint="eastAsia"/>
          <w:bCs/>
          <w:sz w:val="28"/>
          <w:szCs w:val="28"/>
        </w:rPr>
        <w:t>三、加强信息化建设，实现就业信息共享</w:t>
      </w:r>
      <w:r>
        <w:rPr>
          <w:rFonts w:ascii="楷体_GB2312" w:eastAsia="楷体_GB2312" w:hAnsi="楷体_GB2312" w:cs="楷体_GB2312" w:hint="eastAsia"/>
          <w:sz w:val="28"/>
          <w:szCs w:val="28"/>
        </w:rPr>
        <w:t xml:space="preserve">...... ....... ..18 </w:t>
      </w:r>
    </w:p>
    <w:p w:rsidR="00000000" w:rsidRDefault="00250BDB">
      <w:pPr>
        <w:pStyle w:val="a7"/>
        <w:spacing w:line="480" w:lineRule="exact"/>
        <w:ind w:firstLineChars="250" w:firstLine="700"/>
        <w:rPr>
          <w:rFonts w:ascii="楷体_GB2312" w:eastAsia="楷体_GB2312" w:hAnsi="楷体_GB2312" w:cs="楷体_GB2312" w:hint="eastAsia"/>
          <w:bCs/>
          <w:sz w:val="28"/>
          <w:szCs w:val="28"/>
        </w:rPr>
      </w:pPr>
      <w:r>
        <w:rPr>
          <w:rFonts w:ascii="楷体_GB2312" w:eastAsia="楷体_GB2312" w:hAnsi="楷体_GB2312" w:cs="楷体_GB2312" w:hint="eastAsia"/>
          <w:sz w:val="28"/>
          <w:szCs w:val="28"/>
        </w:rPr>
        <w:t>四、</w:t>
      </w:r>
      <w:r>
        <w:rPr>
          <w:rFonts w:ascii="楷体_GB2312" w:eastAsia="楷体_GB2312" w:hAnsi="楷体_GB2312" w:cs="楷体_GB2312" w:hint="eastAsia"/>
          <w:bCs/>
          <w:sz w:val="28"/>
          <w:szCs w:val="28"/>
        </w:rPr>
        <w:t>走出去、请进来，积极拓展就业市场</w:t>
      </w:r>
      <w:r>
        <w:rPr>
          <w:rFonts w:ascii="楷体_GB2312" w:eastAsia="楷体_GB2312" w:hAnsi="楷体_GB2312" w:cs="楷体_GB2312" w:hint="eastAsia"/>
          <w:bCs/>
          <w:sz w:val="28"/>
          <w:szCs w:val="28"/>
        </w:rPr>
        <w:t>.............. ... 19</w:t>
      </w:r>
    </w:p>
    <w:p w:rsidR="00000000" w:rsidRDefault="00250BDB">
      <w:pPr>
        <w:pStyle w:val="a7"/>
        <w:spacing w:line="480" w:lineRule="exact"/>
        <w:ind w:firstLineChars="250" w:firstLine="700"/>
        <w:rPr>
          <w:rFonts w:ascii="楷体_GB2312" w:eastAsia="楷体_GB2312" w:hAnsi="楷体_GB2312" w:cs="楷体_GB2312"/>
          <w:bCs/>
          <w:sz w:val="28"/>
          <w:szCs w:val="28"/>
        </w:rPr>
      </w:pPr>
      <w:r>
        <w:rPr>
          <w:rFonts w:ascii="楷体_GB2312" w:eastAsia="楷体_GB2312" w:hAnsi="楷体_GB2312" w:cs="楷体_GB2312" w:hint="eastAsia"/>
          <w:bCs/>
          <w:sz w:val="28"/>
          <w:szCs w:val="28"/>
        </w:rPr>
        <w:t>五、关注困难学生，有效开展就业帮扶</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bCs/>
          <w:sz w:val="28"/>
          <w:szCs w:val="28"/>
        </w:rPr>
        <w:t>19</w:t>
      </w:r>
    </w:p>
    <w:p w:rsidR="00000000" w:rsidRDefault="00250BDB">
      <w:pPr>
        <w:pStyle w:val="a7"/>
        <w:spacing w:line="480" w:lineRule="exact"/>
        <w:ind w:firstLineChars="250" w:firstLine="700"/>
        <w:rPr>
          <w:rFonts w:ascii="楷体_GB2312" w:eastAsia="楷体_GB2312" w:hAnsi="楷体_GB2312" w:cs="楷体_GB2312"/>
          <w:bCs/>
          <w:sz w:val="28"/>
          <w:szCs w:val="28"/>
        </w:rPr>
      </w:pPr>
      <w:r>
        <w:rPr>
          <w:rFonts w:ascii="楷体_GB2312" w:eastAsia="楷体_GB2312" w:hAnsi="楷体_GB2312" w:cs="楷体_GB2312" w:hint="eastAsia"/>
          <w:bCs/>
          <w:sz w:val="28"/>
          <w:szCs w:val="28"/>
        </w:rPr>
        <w:t>六、加强专业化培训指导，打造高水平就业工作队伍</w:t>
      </w:r>
      <w:r>
        <w:rPr>
          <w:rFonts w:ascii="楷体_GB2312" w:eastAsia="楷体_GB2312" w:hAnsi="楷体_GB2312" w:cs="楷体_GB2312" w:hint="eastAsia"/>
          <w:sz w:val="28"/>
          <w:szCs w:val="28"/>
        </w:rPr>
        <w:t>........</w:t>
      </w:r>
      <w:r>
        <w:rPr>
          <w:rFonts w:ascii="楷体_GB2312" w:eastAsia="楷体_GB2312" w:hAnsi="楷体_GB2312" w:cs="楷体_GB2312" w:hint="eastAsia"/>
          <w:bCs/>
          <w:sz w:val="28"/>
          <w:szCs w:val="28"/>
        </w:rPr>
        <w:t>19</w:t>
      </w:r>
    </w:p>
    <w:p w:rsidR="00000000" w:rsidRDefault="00250BDB">
      <w:pPr>
        <w:pStyle w:val="a7"/>
        <w:spacing w:line="480" w:lineRule="exact"/>
        <w:ind w:firstLineChars="250" w:firstLine="700"/>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七、加大创业教育力度，以创业带动就业</w:t>
      </w:r>
      <w:r>
        <w:rPr>
          <w:rFonts w:ascii="楷体_GB2312" w:eastAsia="楷体_GB2312" w:hAnsi="楷体_GB2312" w:cs="楷体_GB2312" w:hint="eastAsia"/>
          <w:sz w:val="28"/>
          <w:szCs w:val="28"/>
        </w:rPr>
        <w:t>.............. ...</w:t>
      </w:r>
      <w:r>
        <w:rPr>
          <w:rFonts w:ascii="楷体_GB2312" w:eastAsia="楷体_GB2312" w:hAnsi="楷体_GB2312" w:cs="楷体_GB2312" w:hint="eastAsia"/>
          <w:bCs/>
          <w:sz w:val="28"/>
          <w:szCs w:val="28"/>
        </w:rPr>
        <w:t>20</w:t>
      </w:r>
    </w:p>
    <w:p w:rsidR="00000000" w:rsidRDefault="00250BDB">
      <w:pPr>
        <w:spacing w:line="480" w:lineRule="exact"/>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第三部分</w:t>
      </w:r>
      <w:r>
        <w:rPr>
          <w:rFonts w:ascii="楷体_GB2312" w:eastAsia="楷体_GB2312" w:hAnsi="楷体_GB2312" w:cs="楷体_GB2312" w:hint="eastAsia"/>
          <w:b/>
          <w:bCs/>
          <w:sz w:val="32"/>
          <w:szCs w:val="32"/>
        </w:rPr>
        <w:t xml:space="preserve">  </w:t>
      </w:r>
      <w:r>
        <w:rPr>
          <w:rFonts w:ascii="楷体_GB2312" w:eastAsia="楷体_GB2312" w:hAnsi="楷体_GB2312" w:cs="楷体_GB2312" w:hint="eastAsia"/>
          <w:b/>
          <w:bCs/>
          <w:sz w:val="32"/>
          <w:szCs w:val="32"/>
        </w:rPr>
        <w:t>就业相关分析</w:t>
      </w:r>
      <w:r>
        <w:rPr>
          <w:rFonts w:ascii="楷体_GB2312" w:eastAsia="楷体_GB2312" w:hAnsi="楷体_GB2312" w:cs="楷体_GB2312" w:hint="eastAsia"/>
          <w:b/>
          <w:sz w:val="32"/>
          <w:szCs w:val="32"/>
        </w:rPr>
        <w:t>.................... .. ....</w:t>
      </w:r>
      <w:r>
        <w:rPr>
          <w:rFonts w:ascii="楷体_GB2312" w:eastAsia="楷体_GB2312" w:hAnsi="楷体_GB2312" w:cs="楷体_GB2312" w:hint="eastAsia"/>
          <w:b/>
          <w:bCs/>
          <w:sz w:val="32"/>
          <w:szCs w:val="32"/>
        </w:rPr>
        <w:t>21</w:t>
      </w:r>
    </w:p>
    <w:p w:rsidR="00000000" w:rsidRDefault="00250BDB">
      <w:pPr>
        <w:spacing w:line="480" w:lineRule="exact"/>
        <w:ind w:firstLineChars="250" w:firstLine="700"/>
        <w:jc w:val="left"/>
        <w:rPr>
          <w:rFonts w:ascii="楷体_GB2312" w:eastAsia="楷体_GB2312" w:hAnsi="楷体_GB2312" w:cs="楷体_GB2312"/>
          <w:bCs/>
          <w:sz w:val="28"/>
          <w:szCs w:val="28"/>
        </w:rPr>
      </w:pPr>
      <w:r>
        <w:rPr>
          <w:rFonts w:ascii="楷体_GB2312" w:eastAsia="楷体_GB2312" w:hAnsi="楷体_GB2312" w:cs="楷体_GB2312" w:hint="eastAsia"/>
          <w:bCs/>
          <w:sz w:val="28"/>
          <w:szCs w:val="28"/>
        </w:rPr>
        <w:t>一、近三年毕业生就业分析</w:t>
      </w:r>
      <w:r>
        <w:rPr>
          <w:rFonts w:ascii="楷体_GB2312" w:eastAsia="楷体_GB2312" w:hAnsi="楷体_GB2312" w:cs="楷体_GB2312" w:hint="eastAsia"/>
          <w:sz w:val="28"/>
          <w:szCs w:val="28"/>
        </w:rPr>
        <w:t>...................... .. ....</w:t>
      </w:r>
      <w:r>
        <w:rPr>
          <w:rFonts w:ascii="楷体_GB2312" w:eastAsia="楷体_GB2312" w:hAnsi="楷体_GB2312" w:cs="楷体_GB2312" w:hint="eastAsia"/>
          <w:bCs/>
          <w:sz w:val="28"/>
          <w:szCs w:val="28"/>
        </w:rPr>
        <w:t>21</w:t>
      </w:r>
    </w:p>
    <w:p w:rsidR="00000000" w:rsidRDefault="00250BDB">
      <w:pPr>
        <w:numPr>
          <w:ilvl w:val="0"/>
          <w:numId w:val="1"/>
        </w:numPr>
        <w:spacing w:line="480" w:lineRule="exact"/>
        <w:ind w:left="20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就业率</w:t>
      </w:r>
      <w:r>
        <w:rPr>
          <w:rFonts w:ascii="楷体_GB2312" w:eastAsia="楷体_GB2312" w:hAnsi="楷体_GB2312" w:cs="楷体_GB2312" w:hint="eastAsia"/>
          <w:sz w:val="28"/>
          <w:szCs w:val="28"/>
        </w:rPr>
        <w:t>................... ........ ...... ..21</w:t>
      </w:r>
    </w:p>
    <w:p w:rsidR="00000000" w:rsidRDefault="00250BDB">
      <w:pPr>
        <w:numPr>
          <w:ilvl w:val="0"/>
          <w:numId w:val="1"/>
        </w:numPr>
        <w:spacing w:line="480" w:lineRule="exact"/>
        <w:ind w:left="20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就业流向</w:t>
      </w:r>
      <w:r>
        <w:rPr>
          <w:rFonts w:ascii="楷体_GB2312" w:eastAsia="楷体_GB2312" w:hAnsi="楷体_GB2312" w:cs="楷体_GB2312" w:hint="eastAsia"/>
          <w:sz w:val="28"/>
          <w:szCs w:val="28"/>
        </w:rPr>
        <w:t>... ..........................</w:t>
      </w:r>
      <w:r>
        <w:rPr>
          <w:rFonts w:ascii="楷体_GB2312" w:eastAsia="楷体_GB2312" w:hAnsi="楷体_GB2312" w:cs="楷体_GB2312" w:hint="eastAsia"/>
          <w:sz w:val="28"/>
          <w:szCs w:val="28"/>
        </w:rPr>
        <w:t>. ... 21</w:t>
      </w:r>
    </w:p>
    <w:p w:rsidR="00000000" w:rsidRDefault="00250BDB">
      <w:pPr>
        <w:spacing w:line="480" w:lineRule="exact"/>
        <w:ind w:firstLineChars="250" w:firstLine="700"/>
        <w:jc w:val="left"/>
        <w:rPr>
          <w:rFonts w:ascii="楷体_GB2312" w:eastAsia="楷体_GB2312" w:hAnsi="楷体_GB2312" w:cs="楷体_GB2312"/>
          <w:bCs/>
          <w:sz w:val="28"/>
          <w:szCs w:val="28"/>
        </w:rPr>
      </w:pPr>
      <w:r>
        <w:rPr>
          <w:rFonts w:ascii="楷体_GB2312" w:eastAsia="楷体_GB2312" w:hAnsi="楷体_GB2312" w:cs="楷体_GB2312" w:hint="eastAsia"/>
          <w:bCs/>
          <w:sz w:val="28"/>
          <w:szCs w:val="28"/>
        </w:rPr>
        <w:t>二、用人单位对毕业生的评价</w:t>
      </w:r>
      <w:r>
        <w:rPr>
          <w:rFonts w:ascii="楷体_GB2312" w:eastAsia="楷体_GB2312" w:hAnsi="楷体_GB2312" w:cs="楷体_GB2312" w:hint="eastAsia"/>
          <w:sz w:val="28"/>
          <w:szCs w:val="28"/>
        </w:rPr>
        <w:t>.................... ... ...</w:t>
      </w:r>
      <w:r>
        <w:rPr>
          <w:rFonts w:ascii="楷体_GB2312" w:eastAsia="楷体_GB2312" w:hAnsi="楷体_GB2312" w:cs="楷体_GB2312" w:hint="eastAsia"/>
          <w:bCs/>
          <w:sz w:val="28"/>
          <w:szCs w:val="28"/>
        </w:rPr>
        <w:t>22</w:t>
      </w:r>
    </w:p>
    <w:p w:rsidR="00000000" w:rsidRDefault="00250BDB">
      <w:pPr>
        <w:spacing w:line="480" w:lineRule="exact"/>
        <w:ind w:firstLineChars="400" w:firstLine="11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（一）用人单位对我院毕业生的总体满意度</w:t>
      </w:r>
      <w:r>
        <w:rPr>
          <w:rFonts w:ascii="楷体_GB2312" w:eastAsia="楷体_GB2312" w:hAnsi="楷体_GB2312" w:cs="楷体_GB2312" w:hint="eastAsia"/>
          <w:sz w:val="28"/>
          <w:szCs w:val="28"/>
        </w:rPr>
        <w:t>............22</w:t>
      </w:r>
    </w:p>
    <w:p w:rsidR="00000000" w:rsidRDefault="00250BDB">
      <w:pPr>
        <w:spacing w:line="480" w:lineRule="exact"/>
        <w:ind w:firstLineChars="400" w:firstLine="11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（二）用人单位对我院毕业生素质的评价</w:t>
      </w:r>
      <w:r>
        <w:rPr>
          <w:rFonts w:ascii="楷体_GB2312" w:eastAsia="楷体_GB2312" w:hAnsi="楷体_GB2312" w:cs="楷体_GB2312" w:hint="eastAsia"/>
          <w:sz w:val="28"/>
          <w:szCs w:val="28"/>
        </w:rPr>
        <w:t>..............23</w:t>
      </w:r>
    </w:p>
    <w:p w:rsidR="00000000" w:rsidRDefault="00250BDB">
      <w:pPr>
        <w:pStyle w:val="a7"/>
        <w:spacing w:line="480" w:lineRule="exact"/>
        <w:ind w:firstLineChars="250" w:firstLine="700"/>
        <w:rPr>
          <w:rFonts w:ascii="楷体_GB2312" w:eastAsia="楷体_GB2312" w:hAnsi="楷体_GB2312" w:cs="楷体_GB2312" w:hint="eastAsia"/>
          <w:bCs/>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（三）用人单位对毕业生职业相关能力的评价</w:t>
      </w:r>
      <w:r>
        <w:rPr>
          <w:rFonts w:ascii="楷体_GB2312" w:eastAsia="楷体_GB2312" w:hAnsi="楷体_GB2312" w:cs="楷体_GB2312" w:hint="eastAsia"/>
          <w:sz w:val="28"/>
          <w:szCs w:val="28"/>
        </w:rPr>
        <w:t>......... 23</w:t>
      </w:r>
    </w:p>
    <w:p w:rsidR="00000000" w:rsidRDefault="00250BDB">
      <w:pPr>
        <w:spacing w:line="480" w:lineRule="exact"/>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第四部分</w:t>
      </w:r>
      <w:r>
        <w:rPr>
          <w:rFonts w:ascii="楷体_GB2312" w:eastAsia="楷体_GB2312" w:hAnsi="楷体_GB2312" w:cs="楷体_GB2312" w:hint="eastAsia"/>
          <w:b/>
          <w:bCs/>
          <w:sz w:val="32"/>
          <w:szCs w:val="32"/>
        </w:rPr>
        <w:t xml:space="preserve">  </w:t>
      </w:r>
      <w:r>
        <w:rPr>
          <w:rFonts w:ascii="楷体_GB2312" w:eastAsia="楷体_GB2312" w:hAnsi="楷体_GB2312" w:cs="楷体_GB2312" w:hint="eastAsia"/>
          <w:b/>
          <w:bCs/>
          <w:sz w:val="32"/>
          <w:szCs w:val="32"/>
        </w:rPr>
        <w:t>就业对教育教学的反馈</w:t>
      </w: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bCs/>
          <w:sz w:val="32"/>
          <w:szCs w:val="32"/>
        </w:rPr>
        <w:t>25</w:t>
      </w:r>
    </w:p>
    <w:p w:rsidR="00000000" w:rsidRDefault="00250BDB">
      <w:pPr>
        <w:autoSpaceDE w:val="0"/>
        <w:autoSpaceDN w:val="0"/>
        <w:adjustRightInd w:val="0"/>
        <w:spacing w:line="480" w:lineRule="exact"/>
        <w:ind w:firstLineChars="250" w:firstLine="700"/>
        <w:jc w:val="left"/>
        <w:rPr>
          <w:rFonts w:ascii="楷体_GB2312" w:eastAsia="楷体_GB2312" w:hAnsi="楷体_GB2312" w:cs="楷体_GB2312"/>
          <w:bCs/>
          <w:kern w:val="0"/>
          <w:sz w:val="28"/>
          <w:szCs w:val="28"/>
        </w:rPr>
      </w:pPr>
      <w:r>
        <w:rPr>
          <w:rFonts w:ascii="楷体_GB2312" w:eastAsia="楷体_GB2312" w:hAnsi="楷体_GB2312" w:cs="楷体_GB2312" w:hint="eastAsia"/>
          <w:bCs/>
          <w:kern w:val="0"/>
          <w:sz w:val="28"/>
          <w:szCs w:val="28"/>
        </w:rPr>
        <w:t>一、对学院就业指导服务的反馈</w:t>
      </w:r>
      <w:r>
        <w:rPr>
          <w:rFonts w:ascii="楷体_GB2312" w:eastAsia="楷体_GB2312" w:hAnsi="楷体_GB2312" w:cs="楷体_GB2312" w:hint="eastAsia"/>
          <w:sz w:val="28"/>
          <w:szCs w:val="28"/>
        </w:rPr>
        <w:t xml:space="preserve">.................... ... </w:t>
      </w:r>
      <w:r>
        <w:rPr>
          <w:rFonts w:ascii="楷体_GB2312" w:eastAsia="楷体_GB2312" w:hAnsi="楷体_GB2312" w:cs="楷体_GB2312" w:hint="eastAsia"/>
          <w:bCs/>
          <w:kern w:val="0"/>
          <w:sz w:val="28"/>
          <w:szCs w:val="28"/>
        </w:rPr>
        <w:t>25</w:t>
      </w:r>
    </w:p>
    <w:p w:rsidR="00000000" w:rsidRDefault="00250BDB">
      <w:pPr>
        <w:autoSpaceDE w:val="0"/>
        <w:autoSpaceDN w:val="0"/>
        <w:adjustRightInd w:val="0"/>
        <w:spacing w:line="480" w:lineRule="exact"/>
        <w:ind w:firstLineChars="400" w:firstLine="112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（一）就业指导服务满意度</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 ... ..</w:t>
      </w:r>
      <w:r>
        <w:rPr>
          <w:rFonts w:ascii="楷体_GB2312" w:eastAsia="楷体_GB2312" w:hAnsi="楷体_GB2312" w:cs="楷体_GB2312" w:hint="eastAsia"/>
          <w:kern w:val="0"/>
          <w:sz w:val="28"/>
          <w:szCs w:val="28"/>
        </w:rPr>
        <w:t>25</w:t>
      </w:r>
    </w:p>
    <w:p w:rsidR="00000000" w:rsidRDefault="00250BDB">
      <w:pPr>
        <w:autoSpaceDE w:val="0"/>
        <w:autoSpaceDN w:val="0"/>
        <w:adjustRightInd w:val="0"/>
        <w:spacing w:line="480" w:lineRule="exact"/>
        <w:ind w:firstLineChars="400" w:firstLine="112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（二）就业指导服务需要改进的方面</w:t>
      </w:r>
      <w:r>
        <w:rPr>
          <w:rFonts w:ascii="楷体_GB2312" w:eastAsia="楷体_GB2312" w:hAnsi="楷体_GB2312" w:cs="楷体_GB2312" w:hint="eastAsia"/>
          <w:sz w:val="28"/>
          <w:szCs w:val="28"/>
        </w:rPr>
        <w:t>..................</w:t>
      </w:r>
      <w:r>
        <w:rPr>
          <w:rFonts w:ascii="楷体_GB2312" w:eastAsia="楷体_GB2312" w:hAnsi="楷体_GB2312" w:cs="楷体_GB2312" w:hint="eastAsia"/>
          <w:kern w:val="0"/>
          <w:sz w:val="28"/>
          <w:szCs w:val="28"/>
        </w:rPr>
        <w:t>25</w:t>
      </w:r>
    </w:p>
    <w:p w:rsidR="00000000" w:rsidRDefault="00250BDB">
      <w:pPr>
        <w:pStyle w:val="a7"/>
        <w:spacing w:line="480" w:lineRule="exact"/>
        <w:ind w:leftChars="200" w:left="420" w:firstLineChars="100" w:firstLine="280"/>
        <w:jc w:val="left"/>
        <w:rPr>
          <w:rFonts w:ascii="楷体_GB2312" w:eastAsia="楷体_GB2312" w:hAnsi="楷体_GB2312" w:cs="楷体_GB2312"/>
          <w:bCs/>
          <w:sz w:val="28"/>
          <w:szCs w:val="28"/>
        </w:rPr>
      </w:pPr>
      <w:r>
        <w:rPr>
          <w:rFonts w:ascii="楷体_GB2312" w:eastAsia="楷体_GB2312" w:hAnsi="楷体_GB2312" w:cs="楷体_GB2312" w:hint="eastAsia"/>
          <w:bCs/>
          <w:sz w:val="28"/>
          <w:szCs w:val="28"/>
        </w:rPr>
        <w:t>二、对学院人才培养工作的反馈</w:t>
      </w:r>
      <w:r>
        <w:rPr>
          <w:rFonts w:ascii="楷体_GB2312" w:eastAsia="楷体_GB2312" w:hAnsi="楷体_GB2312" w:cs="楷体_GB2312" w:hint="eastAsia"/>
          <w:sz w:val="28"/>
          <w:szCs w:val="28"/>
        </w:rPr>
        <w:t xml:space="preserve">..................... ... </w:t>
      </w:r>
      <w:r>
        <w:rPr>
          <w:rFonts w:ascii="楷体_GB2312" w:eastAsia="楷体_GB2312" w:hAnsi="楷体_GB2312" w:cs="楷体_GB2312" w:hint="eastAsia"/>
          <w:bCs/>
          <w:sz w:val="28"/>
          <w:szCs w:val="28"/>
        </w:rPr>
        <w:t>26</w:t>
      </w:r>
    </w:p>
    <w:p w:rsidR="00000000" w:rsidRDefault="00250BDB">
      <w:pPr>
        <w:pStyle w:val="a7"/>
        <w:spacing w:line="480" w:lineRule="exact"/>
        <w:ind w:leftChars="200" w:left="420" w:firstLineChars="250" w:firstLine="70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（一）对专业设置和教学条件的反馈</w:t>
      </w:r>
      <w:r>
        <w:rPr>
          <w:rFonts w:ascii="楷体_GB2312" w:eastAsia="楷体_GB2312" w:hAnsi="楷体_GB2312" w:cs="楷体_GB2312" w:hint="eastAsia"/>
          <w:sz w:val="28"/>
          <w:szCs w:val="28"/>
        </w:rPr>
        <w:t>..................26</w:t>
      </w:r>
    </w:p>
    <w:p w:rsidR="00000000" w:rsidRDefault="00250BDB">
      <w:pPr>
        <w:spacing w:line="480" w:lineRule="exact"/>
        <w:ind w:firstLineChars="400" w:firstLine="11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（二）对教师教学和专业学习氛围的反馈</w:t>
      </w:r>
      <w:r>
        <w:rPr>
          <w:rFonts w:ascii="楷体_GB2312" w:eastAsia="楷体_GB2312" w:hAnsi="楷体_GB2312" w:cs="楷体_GB2312" w:hint="eastAsia"/>
          <w:sz w:val="28"/>
          <w:szCs w:val="28"/>
        </w:rPr>
        <w:t>..............27</w:t>
      </w:r>
    </w:p>
    <w:p w:rsidR="00000000" w:rsidRDefault="00250BDB">
      <w:pPr>
        <w:spacing w:line="480" w:lineRule="exact"/>
        <w:ind w:firstLineChars="400" w:firstLine="11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（三）家长对学院的满意度调查</w:t>
      </w:r>
      <w:r>
        <w:rPr>
          <w:rFonts w:ascii="楷体_GB2312" w:eastAsia="楷体_GB2312" w:hAnsi="楷体_GB2312" w:cs="楷体_GB2312" w:hint="eastAsia"/>
          <w:sz w:val="28"/>
          <w:szCs w:val="28"/>
        </w:rPr>
        <w:t>.................... .28</w:t>
      </w:r>
    </w:p>
    <w:p w:rsidR="00000000" w:rsidRDefault="00250BDB">
      <w:pPr>
        <w:spacing w:line="480" w:lineRule="exact"/>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第五部分</w:t>
      </w:r>
      <w:r>
        <w:rPr>
          <w:rFonts w:ascii="楷体_GB2312" w:eastAsia="楷体_GB2312" w:hAnsi="楷体_GB2312" w:cs="楷体_GB2312" w:hint="eastAsia"/>
          <w:b/>
          <w:bCs/>
          <w:sz w:val="32"/>
          <w:szCs w:val="32"/>
        </w:rPr>
        <w:t xml:space="preserve">  </w:t>
      </w:r>
      <w:r>
        <w:rPr>
          <w:rFonts w:ascii="楷体_GB2312" w:eastAsia="楷体_GB2312" w:hAnsi="楷体_GB2312" w:cs="楷体_GB2312" w:hint="eastAsia"/>
          <w:b/>
          <w:bCs/>
          <w:sz w:val="32"/>
          <w:szCs w:val="32"/>
        </w:rPr>
        <w:t>今后就业工作的几点思考</w:t>
      </w:r>
      <w:r>
        <w:rPr>
          <w:rFonts w:ascii="楷体_GB2312" w:eastAsia="楷体_GB2312" w:hAnsi="楷体_GB2312" w:cs="楷体_GB2312" w:hint="eastAsia"/>
          <w:b/>
          <w:sz w:val="32"/>
          <w:szCs w:val="32"/>
        </w:rPr>
        <w:t>............ .....</w:t>
      </w:r>
      <w:r>
        <w:rPr>
          <w:rFonts w:ascii="楷体_GB2312" w:eastAsia="楷体_GB2312" w:hAnsi="楷体_GB2312" w:cs="楷体_GB2312" w:hint="eastAsia"/>
          <w:b/>
          <w:bCs/>
          <w:sz w:val="32"/>
          <w:szCs w:val="32"/>
        </w:rPr>
        <w:t>30</w:t>
      </w:r>
    </w:p>
    <w:p w:rsidR="00000000" w:rsidRDefault="00250BDB">
      <w:pPr>
        <w:autoSpaceDE w:val="0"/>
        <w:autoSpaceDN w:val="0"/>
        <w:adjustRightInd w:val="0"/>
        <w:spacing w:line="480" w:lineRule="exact"/>
        <w:ind w:firstLineChars="250" w:firstLine="700"/>
        <w:jc w:val="left"/>
        <w:rPr>
          <w:rFonts w:ascii="楷体_GB2312" w:eastAsia="楷体_GB2312" w:hAnsi="楷体_GB2312" w:cs="楷体_GB2312"/>
          <w:kern w:val="0"/>
          <w:sz w:val="28"/>
          <w:szCs w:val="28"/>
        </w:rPr>
      </w:pPr>
      <w:r>
        <w:rPr>
          <w:rFonts w:ascii="楷体_GB2312" w:eastAsia="楷体_GB2312" w:hAnsi="楷体_GB2312" w:cs="楷体_GB2312" w:hint="eastAsia"/>
          <w:bCs/>
          <w:kern w:val="0"/>
          <w:sz w:val="28"/>
          <w:szCs w:val="28"/>
        </w:rPr>
        <w:t>一、</w:t>
      </w:r>
      <w:r>
        <w:rPr>
          <w:rFonts w:ascii="楷体_GB2312" w:eastAsia="楷体_GB2312" w:hAnsi="楷体_GB2312" w:cs="楷体_GB2312" w:hint="eastAsia"/>
          <w:bCs/>
          <w:kern w:val="0"/>
          <w:sz w:val="28"/>
          <w:szCs w:val="28"/>
        </w:rPr>
        <w:t>进一步加强就业指导，实施“优质服务”</w:t>
      </w:r>
      <w:r>
        <w:rPr>
          <w:rFonts w:ascii="楷体_GB2312" w:eastAsia="楷体_GB2312" w:hAnsi="楷体_GB2312" w:cs="楷体_GB2312" w:hint="eastAsia"/>
          <w:sz w:val="28"/>
          <w:szCs w:val="28"/>
        </w:rPr>
        <w:t>......</w:t>
      </w:r>
      <w:r>
        <w:rPr>
          <w:rFonts w:ascii="楷体_GB2312" w:eastAsia="楷体_GB2312" w:hAnsi="楷体_GB2312" w:cs="楷体_GB2312" w:hint="eastAsia"/>
          <w:kern w:val="0"/>
          <w:sz w:val="28"/>
          <w:szCs w:val="28"/>
        </w:rPr>
        <w:t xml:space="preserve"> </w:t>
      </w:r>
      <w:r>
        <w:rPr>
          <w:rFonts w:ascii="楷体_GB2312" w:eastAsia="楷体_GB2312" w:hAnsi="楷体_GB2312" w:cs="楷体_GB2312" w:hint="eastAsia"/>
          <w:sz w:val="28"/>
          <w:szCs w:val="28"/>
        </w:rPr>
        <w:t>......</w:t>
      </w:r>
      <w:r>
        <w:rPr>
          <w:rFonts w:ascii="楷体_GB2312" w:eastAsia="楷体_GB2312" w:hAnsi="楷体_GB2312" w:cs="楷体_GB2312" w:hint="eastAsia"/>
          <w:kern w:val="0"/>
          <w:sz w:val="28"/>
          <w:szCs w:val="28"/>
        </w:rPr>
        <w:t>30</w:t>
      </w:r>
    </w:p>
    <w:p w:rsidR="00000000" w:rsidRDefault="00250BDB">
      <w:pPr>
        <w:autoSpaceDE w:val="0"/>
        <w:autoSpaceDN w:val="0"/>
        <w:adjustRightInd w:val="0"/>
        <w:spacing w:line="480" w:lineRule="exact"/>
        <w:ind w:firstLineChars="250" w:firstLine="700"/>
        <w:jc w:val="left"/>
        <w:rPr>
          <w:rFonts w:ascii="楷体_GB2312" w:eastAsia="楷体_GB2312" w:hAnsi="楷体_GB2312" w:cs="楷体_GB2312"/>
          <w:bCs/>
          <w:kern w:val="0"/>
          <w:sz w:val="28"/>
          <w:szCs w:val="28"/>
        </w:rPr>
      </w:pPr>
      <w:r>
        <w:rPr>
          <w:rFonts w:ascii="楷体_GB2312" w:eastAsia="楷体_GB2312" w:hAnsi="楷体_GB2312" w:cs="楷体_GB2312" w:hint="eastAsia"/>
          <w:bCs/>
          <w:kern w:val="0"/>
          <w:sz w:val="28"/>
          <w:szCs w:val="28"/>
        </w:rPr>
        <w:t>二、深化职业生涯发展教育、教学内涵建设</w:t>
      </w:r>
      <w:r>
        <w:rPr>
          <w:rFonts w:ascii="楷体_GB2312" w:eastAsia="楷体_GB2312" w:hAnsi="楷体_GB2312" w:cs="楷体_GB2312" w:hint="eastAsia"/>
          <w:sz w:val="28"/>
          <w:szCs w:val="28"/>
        </w:rPr>
        <w:t>................</w:t>
      </w:r>
      <w:r>
        <w:rPr>
          <w:rFonts w:ascii="楷体_GB2312" w:eastAsia="楷体_GB2312" w:hAnsi="楷体_GB2312" w:cs="楷体_GB2312" w:hint="eastAsia"/>
          <w:bCs/>
          <w:kern w:val="0"/>
          <w:sz w:val="28"/>
          <w:szCs w:val="28"/>
        </w:rPr>
        <w:t>30</w:t>
      </w:r>
    </w:p>
    <w:p w:rsidR="00000000" w:rsidRDefault="00250BDB">
      <w:pPr>
        <w:autoSpaceDE w:val="0"/>
        <w:autoSpaceDN w:val="0"/>
        <w:adjustRightInd w:val="0"/>
        <w:spacing w:line="480" w:lineRule="exact"/>
        <w:ind w:firstLineChars="250" w:firstLine="700"/>
        <w:jc w:val="left"/>
        <w:rPr>
          <w:rFonts w:ascii="楷体_GB2312" w:eastAsia="楷体_GB2312" w:hAnsi="楷体_GB2312" w:cs="楷体_GB2312"/>
          <w:bCs/>
          <w:sz w:val="28"/>
          <w:szCs w:val="28"/>
        </w:rPr>
      </w:pPr>
      <w:r>
        <w:rPr>
          <w:rFonts w:ascii="楷体_GB2312" w:eastAsia="楷体_GB2312" w:hAnsi="楷体_GB2312" w:cs="楷体_GB2312" w:hint="eastAsia"/>
          <w:bCs/>
          <w:kern w:val="0"/>
          <w:sz w:val="28"/>
          <w:szCs w:val="28"/>
        </w:rPr>
        <w:t>三、进一步拓宽客户管理的渠道，使实习与就业同步</w:t>
      </w:r>
      <w:r>
        <w:rPr>
          <w:rFonts w:ascii="楷体_GB2312" w:eastAsia="楷体_GB2312" w:hAnsi="楷体_GB2312" w:cs="楷体_GB2312" w:hint="eastAsia"/>
          <w:sz w:val="28"/>
          <w:szCs w:val="28"/>
        </w:rPr>
        <w:t>.......</w:t>
      </w:r>
      <w:r>
        <w:rPr>
          <w:rFonts w:ascii="楷体_GB2312" w:eastAsia="楷体_GB2312" w:hAnsi="楷体_GB2312" w:cs="楷体_GB2312" w:hint="eastAsia"/>
          <w:bCs/>
          <w:sz w:val="28"/>
          <w:szCs w:val="28"/>
        </w:rPr>
        <w:t>30</w:t>
      </w:r>
    </w:p>
    <w:p w:rsidR="00000000" w:rsidRDefault="00250BDB">
      <w:pPr>
        <w:autoSpaceDE w:val="0"/>
        <w:autoSpaceDN w:val="0"/>
        <w:adjustRightInd w:val="0"/>
        <w:spacing w:line="480" w:lineRule="exact"/>
        <w:ind w:firstLineChars="250" w:firstLine="700"/>
        <w:jc w:val="left"/>
        <w:rPr>
          <w:rFonts w:ascii="楷体_GB2312" w:eastAsia="楷体_GB2312" w:hAnsi="楷体_GB2312" w:cs="楷体_GB2312" w:hint="eastAsia"/>
          <w:bCs/>
          <w:kern w:val="0"/>
          <w:sz w:val="28"/>
          <w:szCs w:val="28"/>
        </w:rPr>
      </w:pPr>
      <w:r>
        <w:rPr>
          <w:rFonts w:ascii="楷体_GB2312" w:eastAsia="楷体_GB2312" w:hAnsi="楷体_GB2312" w:cs="楷体_GB2312" w:hint="eastAsia"/>
          <w:bCs/>
          <w:kern w:val="0"/>
          <w:sz w:val="28"/>
          <w:szCs w:val="28"/>
        </w:rPr>
        <w:t>四、组建创业联盟，深化校企合作</w:t>
      </w:r>
      <w:r>
        <w:rPr>
          <w:rFonts w:ascii="楷体_GB2312" w:eastAsia="楷体_GB2312" w:hAnsi="楷体_GB2312" w:cs="楷体_GB2312" w:hint="eastAsia"/>
          <w:sz w:val="28"/>
          <w:szCs w:val="28"/>
        </w:rPr>
        <w:t>.......................</w:t>
      </w:r>
      <w:r>
        <w:rPr>
          <w:rFonts w:ascii="楷体_GB2312" w:eastAsia="楷体_GB2312" w:hAnsi="楷体_GB2312" w:cs="楷体_GB2312" w:hint="eastAsia"/>
          <w:bCs/>
          <w:kern w:val="0"/>
          <w:sz w:val="28"/>
          <w:szCs w:val="28"/>
        </w:rPr>
        <w:t xml:space="preserve"> 30</w:t>
      </w:r>
    </w:p>
    <w:p w:rsidR="00000000" w:rsidRDefault="00250BDB">
      <w:pPr>
        <w:autoSpaceDE w:val="0"/>
        <w:autoSpaceDN w:val="0"/>
        <w:adjustRightInd w:val="0"/>
        <w:spacing w:line="480" w:lineRule="exact"/>
        <w:jc w:val="left"/>
        <w:rPr>
          <w:rFonts w:ascii="楷体_GB2312" w:eastAsia="楷体_GB2312" w:hAnsi="楷体_GB2312" w:cs="楷体_GB2312" w:hint="eastAsia"/>
          <w:bCs/>
          <w:kern w:val="0"/>
          <w:sz w:val="28"/>
          <w:szCs w:val="28"/>
        </w:rPr>
        <w:sectPr w:rsidR="00000000">
          <w:headerReference w:type="default" r:id="rId16"/>
          <w:footerReference w:type="default" r:id="rId17"/>
          <w:headerReference w:type="first" r:id="rId18"/>
          <w:footerReference w:type="first" r:id="rId19"/>
          <w:pgSz w:w="11906" w:h="16838"/>
          <w:pgMar w:top="1440" w:right="1797" w:bottom="1440" w:left="1797" w:header="851" w:footer="992" w:gutter="0"/>
          <w:pgNumType w:fmt="upperRoman" w:start="1"/>
          <w:cols w:space="720"/>
          <w:titlePg/>
          <w:docGrid w:type="lines" w:linePitch="312"/>
        </w:sectPr>
      </w:pPr>
      <w:r>
        <w:rPr>
          <w:rFonts w:ascii="楷体_GB2312" w:eastAsia="楷体_GB2312" w:hAnsi="楷体_GB2312" w:cs="楷体_GB2312" w:hint="eastAsia"/>
          <w:bCs/>
          <w:kern w:val="0"/>
          <w:sz w:val="28"/>
          <w:szCs w:val="28"/>
        </w:rPr>
        <w:t xml:space="preserve">     </w:t>
      </w:r>
      <w:r>
        <w:rPr>
          <w:rFonts w:ascii="楷体_GB2312" w:eastAsia="楷体_GB2312" w:hAnsi="楷体_GB2312" w:cs="楷体_GB2312" w:hint="eastAsia"/>
          <w:bCs/>
          <w:kern w:val="0"/>
          <w:sz w:val="28"/>
          <w:szCs w:val="28"/>
        </w:rPr>
        <w:t>五、不断创新人才培养模式，提升教育教学质量</w:t>
      </w:r>
      <w:r>
        <w:rPr>
          <w:rFonts w:ascii="楷体_GB2312" w:eastAsia="楷体_GB2312" w:hAnsi="楷体_GB2312" w:cs="楷体_GB2312" w:hint="eastAsia"/>
          <w:sz w:val="28"/>
          <w:szCs w:val="28"/>
        </w:rPr>
        <w:t>............31</w:t>
      </w:r>
    </w:p>
    <w:p w:rsidR="00000000" w:rsidRDefault="00250BDB">
      <w:pPr>
        <w:spacing w:line="480" w:lineRule="auto"/>
        <w:jc w:val="center"/>
        <w:rPr>
          <w:rFonts w:ascii="楷体_GB2312" w:eastAsia="楷体_GB2312" w:hAnsi="楷体_GB2312" w:cs="楷体_GB2312"/>
          <w:b/>
          <w:sz w:val="36"/>
          <w:szCs w:val="36"/>
        </w:rPr>
      </w:pPr>
      <w:r>
        <w:rPr>
          <w:rFonts w:ascii="楷体_GB2312" w:eastAsia="楷体_GB2312" w:hAnsi="楷体_GB2312" w:cs="楷体_GB2312" w:hint="eastAsia"/>
          <w:b/>
          <w:sz w:val="36"/>
          <w:szCs w:val="36"/>
        </w:rPr>
        <w:lastRenderedPageBreak/>
        <w:t>第一部分</w:t>
      </w:r>
      <w:r>
        <w:rPr>
          <w:rFonts w:ascii="楷体_GB2312" w:eastAsia="楷体_GB2312" w:hAnsi="楷体_GB2312" w:cs="楷体_GB2312" w:hint="eastAsia"/>
          <w:b/>
          <w:sz w:val="36"/>
          <w:szCs w:val="36"/>
        </w:rPr>
        <w:t xml:space="preserve">  </w:t>
      </w:r>
      <w:r>
        <w:rPr>
          <w:rFonts w:ascii="楷体_GB2312" w:eastAsia="楷体_GB2312" w:hAnsi="楷体_GB2312" w:cs="楷体_GB2312" w:hint="eastAsia"/>
          <w:b/>
          <w:sz w:val="36"/>
          <w:szCs w:val="36"/>
        </w:rPr>
        <w:t>毕业生就业基本情况</w:t>
      </w:r>
    </w:p>
    <w:p w:rsidR="00000000" w:rsidRDefault="00250BDB">
      <w:pPr>
        <w:pStyle w:val="a7"/>
        <w:numPr>
          <w:ilvl w:val="0"/>
          <w:numId w:val="2"/>
        </w:numPr>
        <w:spacing w:line="480" w:lineRule="auto"/>
        <w:ind w:firstLineChars="0"/>
        <w:rPr>
          <w:rFonts w:ascii="楷体_GB2312" w:eastAsia="楷体_GB2312" w:hAnsi="楷体_GB2312" w:cs="楷体_GB2312"/>
          <w:b/>
          <w:sz w:val="32"/>
          <w:szCs w:val="32"/>
        </w:rPr>
      </w:pPr>
      <w:r>
        <w:rPr>
          <w:rFonts w:ascii="楷体_GB2312" w:eastAsia="楷体_GB2312" w:hAnsi="楷体_GB2312" w:cs="楷体_GB2312" w:hint="eastAsia"/>
          <w:b/>
          <w:sz w:val="32"/>
          <w:szCs w:val="32"/>
        </w:rPr>
        <w:t>毕业生人数</w:t>
      </w:r>
    </w:p>
    <w:p w:rsidR="00000000" w:rsidRDefault="00250BDB">
      <w:pPr>
        <w:spacing w:line="480" w:lineRule="auto"/>
        <w:ind w:leftChars="200" w:left="420"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届毕业生共</w:t>
      </w:r>
      <w:r>
        <w:rPr>
          <w:rFonts w:ascii="楷体_GB2312" w:eastAsia="楷体_GB2312" w:hAnsi="楷体_GB2312" w:cs="楷体_GB2312" w:hint="eastAsia"/>
          <w:sz w:val="28"/>
          <w:szCs w:val="28"/>
        </w:rPr>
        <w:t>1975</w:t>
      </w:r>
      <w:r>
        <w:rPr>
          <w:rFonts w:ascii="楷体_GB2312" w:eastAsia="楷体_GB2312" w:hAnsi="楷体_GB2312" w:cs="楷体_GB2312" w:hint="eastAsia"/>
          <w:sz w:val="28"/>
          <w:szCs w:val="28"/>
        </w:rPr>
        <w:t>人，其中四年制本科生</w:t>
      </w:r>
      <w:r>
        <w:rPr>
          <w:rFonts w:ascii="楷体_GB2312" w:eastAsia="楷体_GB2312" w:hAnsi="楷体_GB2312" w:cs="楷体_GB2312" w:hint="eastAsia"/>
          <w:sz w:val="28"/>
          <w:szCs w:val="28"/>
        </w:rPr>
        <w:t>1618</w:t>
      </w:r>
      <w:r>
        <w:rPr>
          <w:rFonts w:ascii="楷体_GB2312" w:eastAsia="楷体_GB2312" w:hAnsi="楷体_GB2312" w:cs="楷体_GB2312" w:hint="eastAsia"/>
          <w:sz w:val="28"/>
          <w:szCs w:val="28"/>
        </w:rPr>
        <w:t>人，五年制本科生</w:t>
      </w:r>
      <w:r>
        <w:rPr>
          <w:rFonts w:ascii="楷体_GB2312" w:eastAsia="楷体_GB2312" w:hAnsi="楷体_GB2312" w:cs="楷体_GB2312" w:hint="eastAsia"/>
          <w:sz w:val="28"/>
          <w:szCs w:val="28"/>
        </w:rPr>
        <w:t>357</w:t>
      </w:r>
      <w:r>
        <w:rPr>
          <w:rFonts w:ascii="楷体_GB2312" w:eastAsia="楷体_GB2312" w:hAnsi="楷体_GB2312" w:cs="楷体_GB2312" w:hint="eastAsia"/>
          <w:sz w:val="28"/>
          <w:szCs w:val="28"/>
        </w:rPr>
        <w:t>人。比照近三</w:t>
      </w:r>
      <w:r>
        <w:rPr>
          <w:rFonts w:ascii="楷体_GB2312" w:eastAsia="楷体_GB2312" w:hAnsi="楷体_GB2312" w:cs="楷体_GB2312" w:hint="eastAsia"/>
          <w:sz w:val="28"/>
          <w:szCs w:val="28"/>
        </w:rPr>
        <w:t>年的统计数据（见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w:t>
      </w:r>
      <w:r>
        <w:rPr>
          <w:rFonts w:ascii="楷体_GB2312" w:eastAsia="楷体_GB2312" w:hAnsi="楷体_GB2312" w:cs="楷体_GB2312" w:hint="eastAsia"/>
          <w:sz w:val="28"/>
          <w:szCs w:val="28"/>
        </w:rPr>
        <w:t>），我院本科毕业生人数逐年增长。</w:t>
      </w:r>
    </w:p>
    <w:p w:rsidR="00000000" w:rsidRDefault="00F86454">
      <w:pPr>
        <w:spacing w:line="480" w:lineRule="auto"/>
        <w:ind w:leftChars="200" w:left="420" w:firstLineChars="200" w:firstLine="420"/>
        <w:jc w:val="center"/>
        <w:rPr>
          <w:rFonts w:ascii="楷体_GB2312" w:eastAsia="楷体_GB2312" w:hAnsi="楷体_GB2312" w:cs="楷体_GB2312"/>
          <w:b/>
          <w:bCs/>
          <w:sz w:val="28"/>
          <w:szCs w:val="28"/>
        </w:rPr>
      </w:pPr>
      <w:r>
        <w:rPr>
          <w:noProof/>
        </w:rPr>
        <w:drawing>
          <wp:inline distT="0" distB="0" distL="0" distR="0">
            <wp:extent cx="5200650" cy="2971165"/>
            <wp:effectExtent l="4445" t="4445" r="14605" b="15240"/>
            <wp:docPr id="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50BDB">
        <w:rPr>
          <w:rFonts w:ascii="楷体_GB2312" w:eastAsia="楷体_GB2312" w:hAnsi="楷体_GB2312" w:cs="楷体_GB2312" w:hint="eastAsia"/>
          <w:b/>
          <w:bCs/>
          <w:sz w:val="28"/>
          <w:szCs w:val="28"/>
        </w:rPr>
        <w:t>图</w:t>
      </w:r>
      <w:r w:rsidR="00250BDB">
        <w:rPr>
          <w:rFonts w:ascii="楷体_GB2312" w:eastAsia="楷体_GB2312" w:hAnsi="楷体_GB2312" w:cs="楷体_GB2312" w:hint="eastAsia"/>
          <w:b/>
          <w:bCs/>
          <w:sz w:val="28"/>
          <w:szCs w:val="28"/>
        </w:rPr>
        <w:t>1-1  2013-2015</w:t>
      </w:r>
      <w:r w:rsidR="00250BDB">
        <w:rPr>
          <w:rFonts w:ascii="楷体_GB2312" w:eastAsia="楷体_GB2312" w:hAnsi="楷体_GB2312" w:cs="楷体_GB2312" w:hint="eastAsia"/>
          <w:b/>
          <w:bCs/>
          <w:sz w:val="28"/>
          <w:szCs w:val="28"/>
        </w:rPr>
        <w:t>届毕业生人数</w:t>
      </w:r>
    </w:p>
    <w:p w:rsidR="00000000" w:rsidRDefault="00250BDB">
      <w:pPr>
        <w:pStyle w:val="a7"/>
        <w:spacing w:line="480" w:lineRule="auto"/>
        <w:ind w:left="420" w:firstLineChars="0" w:firstLine="0"/>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二、毕业生的结构组成</w:t>
      </w:r>
    </w:p>
    <w:p w:rsidR="00000000" w:rsidRDefault="00250BDB">
      <w:pPr>
        <w:pStyle w:val="a7"/>
        <w:numPr>
          <w:ilvl w:val="0"/>
          <w:numId w:val="3"/>
        </w:numPr>
        <w:spacing w:line="480" w:lineRule="auto"/>
        <w:ind w:firstLineChars="0"/>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各学部毕业生分布情况</w:t>
      </w:r>
    </w:p>
    <w:p w:rsidR="00000000" w:rsidRDefault="00250BDB">
      <w:pPr>
        <w:spacing w:line="480" w:lineRule="auto"/>
        <w:ind w:leftChars="200" w:left="420"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届各学部毕业生人数（见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1-2</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。其中，毕业生人数占比前三位的学部分别是：第一、医学部</w:t>
      </w:r>
      <w:r>
        <w:rPr>
          <w:rFonts w:ascii="楷体_GB2312" w:eastAsia="楷体_GB2312" w:hAnsi="楷体_GB2312" w:cs="楷体_GB2312" w:hint="eastAsia"/>
          <w:sz w:val="28"/>
          <w:szCs w:val="28"/>
        </w:rPr>
        <w:t>574</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29.06%</w:t>
      </w:r>
      <w:r>
        <w:rPr>
          <w:rFonts w:ascii="楷体_GB2312" w:eastAsia="楷体_GB2312" w:hAnsi="楷体_GB2312" w:cs="楷体_GB2312" w:hint="eastAsia"/>
          <w:sz w:val="28"/>
          <w:szCs w:val="28"/>
        </w:rPr>
        <w:t>；第二、工程学部</w:t>
      </w:r>
      <w:r>
        <w:rPr>
          <w:rFonts w:ascii="楷体_GB2312" w:eastAsia="楷体_GB2312" w:hAnsi="楷体_GB2312" w:cs="楷体_GB2312" w:hint="eastAsia"/>
          <w:sz w:val="28"/>
          <w:szCs w:val="28"/>
        </w:rPr>
        <w:t>405</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20.51%</w:t>
      </w:r>
      <w:r>
        <w:rPr>
          <w:rFonts w:ascii="楷体_GB2312" w:eastAsia="楷体_GB2312" w:hAnsi="楷体_GB2312" w:cs="楷体_GB2312" w:hint="eastAsia"/>
          <w:sz w:val="28"/>
          <w:szCs w:val="28"/>
        </w:rPr>
        <w:t>；第三、经济与管理学部</w:t>
      </w:r>
      <w:r>
        <w:rPr>
          <w:rFonts w:ascii="楷体_GB2312" w:eastAsia="楷体_GB2312" w:hAnsi="楷体_GB2312" w:cs="楷体_GB2312" w:hint="eastAsia"/>
          <w:sz w:val="28"/>
          <w:szCs w:val="28"/>
        </w:rPr>
        <w:t>338</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17.11%</w:t>
      </w:r>
      <w:r>
        <w:rPr>
          <w:rFonts w:ascii="楷体_GB2312" w:eastAsia="楷体_GB2312" w:hAnsi="楷体_GB2312" w:cs="楷体_GB2312" w:hint="eastAsia"/>
          <w:sz w:val="28"/>
          <w:szCs w:val="28"/>
        </w:rPr>
        <w:t>。</w:t>
      </w:r>
    </w:p>
    <w:p w:rsidR="00000000" w:rsidRDefault="00F86454">
      <w:pPr>
        <w:spacing w:line="480" w:lineRule="auto"/>
        <w:ind w:leftChars="200" w:left="420" w:firstLineChars="200" w:firstLine="420"/>
        <w:jc w:val="left"/>
        <w:rPr>
          <w:rFonts w:ascii="楷体_GB2312" w:eastAsia="楷体_GB2312" w:hAnsi="楷体_GB2312" w:cs="楷体_GB2312"/>
          <w:sz w:val="28"/>
          <w:szCs w:val="28"/>
        </w:rPr>
      </w:pPr>
      <w:r>
        <w:rPr>
          <w:noProof/>
        </w:rPr>
        <w:lastRenderedPageBreak/>
        <w:drawing>
          <wp:inline distT="0" distB="0" distL="0" distR="0">
            <wp:extent cx="4696931" cy="2648051"/>
            <wp:effectExtent l="4331" t="5026" r="13613" b="4398"/>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250BDB">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图</w:t>
      </w:r>
      <w:r>
        <w:rPr>
          <w:rFonts w:ascii="楷体_GB2312" w:eastAsia="楷体_GB2312" w:hAnsi="楷体_GB2312" w:cs="楷体_GB2312" w:hint="eastAsia"/>
          <w:b/>
          <w:sz w:val="28"/>
          <w:szCs w:val="28"/>
        </w:rPr>
        <w:t>1-2  2015</w:t>
      </w:r>
      <w:r>
        <w:rPr>
          <w:rFonts w:ascii="楷体_GB2312" w:eastAsia="楷体_GB2312" w:hAnsi="楷体_GB2312" w:cs="楷体_GB2312" w:hint="eastAsia"/>
          <w:b/>
          <w:sz w:val="28"/>
          <w:szCs w:val="28"/>
        </w:rPr>
        <w:t>届各学部毕业生分布情况</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二</w:t>
      </w: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毕业生的性别结构</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届毕业生中，男生</w:t>
      </w:r>
      <w:r>
        <w:rPr>
          <w:rFonts w:ascii="楷体_GB2312" w:eastAsia="楷体_GB2312" w:hAnsi="楷体_GB2312" w:cs="楷体_GB2312" w:hint="eastAsia"/>
          <w:sz w:val="28"/>
          <w:szCs w:val="28"/>
        </w:rPr>
        <w:t>771</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39.04%</w:t>
      </w:r>
      <w:r>
        <w:rPr>
          <w:rFonts w:ascii="楷体_GB2312" w:eastAsia="楷体_GB2312" w:hAnsi="楷体_GB2312" w:cs="楷体_GB2312" w:hint="eastAsia"/>
          <w:sz w:val="28"/>
          <w:szCs w:val="28"/>
        </w:rPr>
        <w:t>；女生</w:t>
      </w:r>
      <w:r>
        <w:rPr>
          <w:rFonts w:ascii="楷体_GB2312" w:eastAsia="楷体_GB2312" w:hAnsi="楷体_GB2312" w:cs="楷体_GB2312" w:hint="eastAsia"/>
          <w:sz w:val="28"/>
          <w:szCs w:val="28"/>
        </w:rPr>
        <w:t>1204</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60.96%</w:t>
      </w:r>
      <w:r>
        <w:rPr>
          <w:rFonts w:ascii="楷体_GB2312" w:eastAsia="楷体_GB2312" w:hAnsi="楷体_GB2312" w:cs="楷体_GB2312" w:hint="eastAsia"/>
          <w:sz w:val="28"/>
          <w:szCs w:val="28"/>
        </w:rPr>
        <w:t>。男女生性别比为</w:t>
      </w:r>
      <w:r>
        <w:rPr>
          <w:rFonts w:ascii="楷体_GB2312" w:eastAsia="楷体_GB2312" w:hAnsi="楷体_GB2312" w:cs="楷体_GB2312" w:hint="eastAsia"/>
          <w:sz w:val="28"/>
          <w:szCs w:val="28"/>
        </w:rPr>
        <w:t>1:1.56</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1-3</w:t>
      </w:r>
      <w:r>
        <w:rPr>
          <w:rFonts w:ascii="楷体_GB2312" w:eastAsia="楷体_GB2312" w:hAnsi="楷体_GB2312" w:cs="楷体_GB2312" w:hint="eastAsia"/>
          <w:sz w:val="28"/>
          <w:szCs w:val="28"/>
        </w:rPr>
        <w:t>）。</w:t>
      </w:r>
    </w:p>
    <w:p w:rsidR="00000000" w:rsidRDefault="00F86454">
      <w:pPr>
        <w:spacing w:line="480" w:lineRule="auto"/>
        <w:jc w:val="center"/>
        <w:rPr>
          <w:rFonts w:ascii="楷体_GB2312" w:eastAsia="楷体_GB2312" w:hAnsi="楷体_GB2312" w:cs="楷体_GB2312"/>
          <w:sz w:val="28"/>
          <w:szCs w:val="28"/>
        </w:rPr>
      </w:pPr>
      <w:r>
        <w:rPr>
          <w:noProof/>
        </w:rPr>
        <w:drawing>
          <wp:inline distT="0" distB="0" distL="0" distR="0">
            <wp:extent cx="4276725" cy="2438400"/>
            <wp:effectExtent l="4445" t="4445" r="5080" b="14605"/>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250BDB">
      <w:pPr>
        <w:spacing w:line="480" w:lineRule="auto"/>
        <w:jc w:val="center"/>
        <w:rPr>
          <w:rFonts w:ascii="楷体_GB2312" w:eastAsia="楷体_GB2312" w:hAnsi="楷体_GB2312" w:cs="楷体_GB2312" w:hint="eastAsia"/>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1-3  2015</w:t>
      </w:r>
      <w:r>
        <w:rPr>
          <w:rFonts w:ascii="楷体_GB2312" w:eastAsia="楷体_GB2312" w:hAnsi="楷体_GB2312" w:cs="楷体_GB2312" w:hint="eastAsia"/>
          <w:b/>
          <w:bCs/>
          <w:sz w:val="28"/>
          <w:szCs w:val="28"/>
        </w:rPr>
        <w:t>届毕业生男女生性别比例</w:t>
      </w:r>
    </w:p>
    <w:p w:rsidR="00000000" w:rsidRDefault="00250BDB">
      <w:pPr>
        <w:spacing w:line="480" w:lineRule="auto"/>
        <w:ind w:firstLineChars="200" w:firstLine="560"/>
        <w:jc w:val="left"/>
        <w:rPr>
          <w:rFonts w:ascii="楷体_GB2312" w:eastAsia="楷体_GB2312" w:hAnsi="楷体_GB2312" w:cs="楷体_GB2312" w:hint="eastAsia"/>
          <w:sz w:val="28"/>
          <w:szCs w:val="28"/>
        </w:rPr>
      </w:pPr>
    </w:p>
    <w:p w:rsidR="00000000" w:rsidRDefault="00250BDB">
      <w:pPr>
        <w:spacing w:line="480" w:lineRule="auto"/>
        <w:jc w:val="left"/>
        <w:rPr>
          <w:rFonts w:ascii="楷体_GB2312" w:eastAsia="楷体_GB2312" w:hAnsi="楷体_GB2312" w:cs="楷体_GB2312" w:hint="eastAsia"/>
          <w:sz w:val="28"/>
          <w:szCs w:val="28"/>
        </w:rPr>
      </w:pP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2015</w:t>
      </w:r>
      <w:r>
        <w:rPr>
          <w:rFonts w:ascii="楷体_GB2312" w:eastAsia="楷体_GB2312" w:hAnsi="楷体_GB2312" w:cs="楷体_GB2312" w:hint="eastAsia"/>
          <w:sz w:val="28"/>
          <w:szCs w:val="28"/>
        </w:rPr>
        <w:t>届各专业男女生人数统计（见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1-1</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250BDB">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表</w:t>
      </w:r>
      <w:r>
        <w:rPr>
          <w:rFonts w:ascii="楷体_GB2312" w:eastAsia="楷体_GB2312" w:hAnsi="楷体_GB2312" w:cs="楷体_GB2312" w:hint="eastAsia"/>
          <w:b/>
          <w:sz w:val="28"/>
          <w:szCs w:val="28"/>
        </w:rPr>
        <w:t xml:space="preserve">1-1  </w:t>
      </w:r>
      <w:r>
        <w:rPr>
          <w:rFonts w:ascii="楷体_GB2312" w:eastAsia="楷体_GB2312" w:hAnsi="楷体_GB2312" w:cs="楷体_GB2312" w:hint="eastAsia"/>
          <w:b/>
          <w:sz w:val="28"/>
          <w:szCs w:val="28"/>
        </w:rPr>
        <w:t>各专业男女生统计表</w:t>
      </w:r>
    </w:p>
    <w:tbl>
      <w:tblPr>
        <w:tblW w:w="0" w:type="auto"/>
        <w:jc w:val="center"/>
        <w:tblInd w:w="0" w:type="dxa"/>
        <w:tblLayout w:type="fixed"/>
        <w:tblLook w:val="0000"/>
      </w:tblPr>
      <w:tblGrid>
        <w:gridCol w:w="1335"/>
        <w:gridCol w:w="5144"/>
        <w:gridCol w:w="776"/>
        <w:gridCol w:w="636"/>
        <w:gridCol w:w="776"/>
      </w:tblGrid>
      <w:tr w:rsidR="00000000">
        <w:trPr>
          <w:cantSplit/>
          <w:trHeight w:val="227"/>
          <w:jc w:val="center"/>
        </w:trPr>
        <w:tc>
          <w:tcPr>
            <w:tcW w:w="1335" w:type="dxa"/>
            <w:vMerge w:val="restart"/>
            <w:tcBorders>
              <w:top w:val="single" w:sz="4" w:space="0" w:color="auto"/>
              <w:left w:val="single" w:sz="4" w:space="0" w:color="auto"/>
              <w:bottom w:val="single" w:sz="4" w:space="0" w:color="auto"/>
              <w:right w:val="single" w:sz="4" w:space="0" w:color="auto"/>
            </w:tcBorders>
            <w:vAlign w:val="center"/>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学部</w:t>
            </w:r>
          </w:p>
        </w:tc>
        <w:tc>
          <w:tcPr>
            <w:tcW w:w="5144" w:type="dxa"/>
            <w:vMerge w:val="restart"/>
            <w:tcBorders>
              <w:top w:val="single" w:sz="4" w:space="0" w:color="auto"/>
              <w:left w:val="single" w:sz="4" w:space="0" w:color="auto"/>
              <w:bottom w:val="single" w:sz="4" w:space="0" w:color="auto"/>
              <w:right w:val="single" w:sz="4" w:space="0" w:color="auto"/>
            </w:tcBorders>
            <w:vAlign w:val="center"/>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专业</w:t>
            </w:r>
          </w:p>
        </w:tc>
        <w:tc>
          <w:tcPr>
            <w:tcW w:w="776" w:type="dxa"/>
            <w:vMerge w:val="restart"/>
            <w:tcBorders>
              <w:top w:val="single" w:sz="4" w:space="0" w:color="auto"/>
              <w:left w:val="single" w:sz="4" w:space="0" w:color="auto"/>
              <w:bottom w:val="single" w:sz="4" w:space="0" w:color="auto"/>
              <w:right w:val="single" w:sz="4" w:space="0" w:color="auto"/>
            </w:tcBorders>
            <w:vAlign w:val="center"/>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人数</w:t>
            </w:r>
          </w:p>
        </w:tc>
        <w:tc>
          <w:tcPr>
            <w:tcW w:w="1412" w:type="dxa"/>
            <w:gridSpan w:val="2"/>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本科生</w:t>
            </w:r>
          </w:p>
        </w:tc>
      </w:tr>
      <w:tr w:rsidR="00000000">
        <w:trPr>
          <w:cantSplit/>
          <w:trHeight w:val="227"/>
          <w:jc w:val="center"/>
        </w:trPr>
        <w:tc>
          <w:tcPr>
            <w:tcW w:w="1335" w:type="dxa"/>
            <w:vMerge/>
            <w:tcBorders>
              <w:top w:val="nil"/>
              <w:left w:val="single" w:sz="4" w:space="0" w:color="auto"/>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b/>
                <w:bCs/>
                <w:kern w:val="0"/>
                <w:sz w:val="28"/>
                <w:szCs w:val="28"/>
              </w:rPr>
            </w:pPr>
          </w:p>
        </w:tc>
        <w:tc>
          <w:tcPr>
            <w:tcW w:w="5144" w:type="dxa"/>
            <w:vMerge/>
            <w:tcBorders>
              <w:top w:val="nil"/>
              <w:left w:val="single" w:sz="4" w:space="0" w:color="auto"/>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b/>
                <w:bCs/>
                <w:kern w:val="0"/>
                <w:sz w:val="28"/>
                <w:szCs w:val="28"/>
              </w:rPr>
            </w:pPr>
          </w:p>
        </w:tc>
        <w:tc>
          <w:tcPr>
            <w:tcW w:w="776" w:type="dxa"/>
            <w:vMerge/>
            <w:tcBorders>
              <w:top w:val="nil"/>
              <w:left w:val="single" w:sz="4" w:space="0" w:color="auto"/>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b/>
                <w:bCs/>
                <w:kern w:val="0"/>
                <w:sz w:val="28"/>
                <w:szCs w:val="28"/>
              </w:rPr>
            </w:pPr>
          </w:p>
        </w:tc>
        <w:tc>
          <w:tcPr>
            <w:tcW w:w="636"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男</w:t>
            </w:r>
          </w:p>
        </w:tc>
        <w:tc>
          <w:tcPr>
            <w:tcW w:w="776"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女</w:t>
            </w:r>
          </w:p>
        </w:tc>
      </w:tr>
      <w:tr w:rsidR="00000000">
        <w:trPr>
          <w:cantSplit/>
          <w:trHeight w:val="227"/>
          <w:jc w:val="center"/>
        </w:trPr>
        <w:tc>
          <w:tcPr>
            <w:tcW w:w="1335" w:type="dxa"/>
            <w:vMerge w:val="restart"/>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人文</w:t>
            </w:r>
          </w:p>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学部</w:t>
            </w:r>
            <w:r>
              <w:rPr>
                <w:rFonts w:ascii="楷体_GB2312" w:eastAsia="楷体_GB2312" w:hAnsi="楷体_GB2312" w:cs="楷体_GB2312" w:hint="eastAsia"/>
                <w:kern w:val="0"/>
                <w:sz w:val="28"/>
                <w:szCs w:val="28"/>
              </w:rPr>
              <w:t xml:space="preserve">      313</w:t>
            </w:r>
            <w:r>
              <w:rPr>
                <w:rFonts w:ascii="楷体_GB2312" w:eastAsia="楷体_GB2312" w:hAnsi="楷体_GB2312" w:cs="楷体_GB2312" w:hint="eastAsia"/>
                <w:kern w:val="0"/>
                <w:sz w:val="28"/>
                <w:szCs w:val="28"/>
              </w:rPr>
              <w:t>人</w:t>
            </w: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汉语言文学（高级文秘）</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39</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37</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英语</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22</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17</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日语</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22</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2</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20</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英语（商务英语）</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43</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38</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日语（商务日语）</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45</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40</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艺术设计</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81</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35</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46</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动画</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24</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11</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13</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汉语言文学（新闻传媒与文化创意）</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37</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6</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31</w:t>
            </w:r>
          </w:p>
        </w:tc>
      </w:tr>
      <w:tr w:rsidR="00000000">
        <w:trPr>
          <w:cantSplit/>
          <w:trHeight w:val="227"/>
          <w:jc w:val="center"/>
        </w:trPr>
        <w:tc>
          <w:tcPr>
            <w:tcW w:w="1335" w:type="dxa"/>
            <w:vMerge w:val="restart"/>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理学部</w:t>
            </w:r>
            <w:r>
              <w:rPr>
                <w:rFonts w:ascii="楷体_GB2312" w:eastAsia="楷体_GB2312" w:hAnsi="楷体_GB2312" w:cs="楷体_GB2312" w:hint="eastAsia"/>
                <w:kern w:val="0"/>
                <w:sz w:val="28"/>
                <w:szCs w:val="28"/>
              </w:rPr>
              <w:t xml:space="preserve">  115</w:t>
            </w:r>
            <w:r>
              <w:rPr>
                <w:rFonts w:ascii="楷体_GB2312" w:eastAsia="楷体_GB2312" w:hAnsi="楷体_GB2312" w:cs="楷体_GB2312" w:hint="eastAsia"/>
                <w:kern w:val="0"/>
                <w:sz w:val="28"/>
                <w:szCs w:val="28"/>
              </w:rPr>
              <w:t>人</w:t>
            </w: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统计学（金融统计）</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61</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8</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53</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资源环境与城乡规划管理</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25</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21</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应用心理学</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29</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24</w:t>
            </w:r>
          </w:p>
        </w:tc>
      </w:tr>
      <w:tr w:rsidR="00000000">
        <w:trPr>
          <w:cantSplit/>
          <w:trHeight w:val="759"/>
          <w:jc w:val="center"/>
        </w:trPr>
        <w:tc>
          <w:tcPr>
            <w:tcW w:w="1335" w:type="dxa"/>
            <w:vMerge w:val="restart"/>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经济与管理学部</w:t>
            </w:r>
            <w:r>
              <w:rPr>
                <w:rFonts w:ascii="楷体_GB2312" w:eastAsia="楷体_GB2312" w:hAnsi="楷体_GB2312" w:cs="楷体_GB2312" w:hint="eastAsia"/>
                <w:kern w:val="0"/>
                <w:sz w:val="28"/>
                <w:szCs w:val="28"/>
              </w:rPr>
              <w:t>338</w:t>
            </w:r>
            <w:r>
              <w:rPr>
                <w:rFonts w:ascii="楷体_GB2312" w:eastAsia="楷体_GB2312" w:hAnsi="楷体_GB2312" w:cs="楷体_GB2312" w:hint="eastAsia"/>
                <w:kern w:val="0"/>
                <w:sz w:val="28"/>
                <w:szCs w:val="28"/>
              </w:rPr>
              <w:t>人</w:t>
            </w: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市场营销</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52</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17</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35</w:t>
            </w:r>
          </w:p>
        </w:tc>
      </w:tr>
      <w:tr w:rsidR="00000000">
        <w:trPr>
          <w:cantSplit/>
          <w:trHeight w:val="729"/>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会计学</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104</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24</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80</w:t>
            </w:r>
          </w:p>
        </w:tc>
      </w:tr>
      <w:tr w:rsidR="00000000">
        <w:trPr>
          <w:cantSplit/>
          <w:trHeight w:val="759"/>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市场营销（物流管理）</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79</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26</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53</w:t>
            </w:r>
          </w:p>
        </w:tc>
      </w:tr>
      <w:tr w:rsidR="00000000">
        <w:trPr>
          <w:cantSplit/>
          <w:trHeight w:val="804"/>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国际经济与贸易</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52</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6</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46</w:t>
            </w:r>
          </w:p>
        </w:tc>
      </w:tr>
      <w:tr w:rsidR="00000000">
        <w:trPr>
          <w:cantSplit/>
          <w:trHeight w:val="879"/>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行政管理</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51</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11</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40</w:t>
            </w:r>
          </w:p>
        </w:tc>
      </w:tr>
      <w:tr w:rsidR="00000000">
        <w:trPr>
          <w:cantSplit/>
          <w:trHeight w:val="90"/>
          <w:jc w:val="center"/>
        </w:trPr>
        <w:tc>
          <w:tcPr>
            <w:tcW w:w="1335" w:type="dxa"/>
            <w:vMerge w:val="restart"/>
            <w:tcBorders>
              <w:top w:val="single" w:sz="4" w:space="0" w:color="auto"/>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lastRenderedPageBreak/>
              <w:t>信息科部</w:t>
            </w:r>
            <w:r>
              <w:rPr>
                <w:rFonts w:ascii="楷体_GB2312" w:eastAsia="楷体_GB2312" w:hAnsi="楷体_GB2312" w:cs="楷体_GB2312" w:hint="eastAsia"/>
                <w:kern w:val="0"/>
                <w:sz w:val="28"/>
                <w:szCs w:val="28"/>
              </w:rPr>
              <w:t>230</w:t>
            </w:r>
            <w:r>
              <w:rPr>
                <w:rFonts w:ascii="楷体_GB2312" w:eastAsia="楷体_GB2312" w:hAnsi="楷体_GB2312" w:cs="楷体_GB2312" w:hint="eastAsia"/>
                <w:kern w:val="0"/>
                <w:sz w:val="28"/>
                <w:szCs w:val="28"/>
              </w:rPr>
              <w:t>人</w:t>
            </w:r>
          </w:p>
        </w:tc>
        <w:tc>
          <w:tcPr>
            <w:tcW w:w="5144" w:type="dxa"/>
            <w:tcBorders>
              <w:top w:val="single" w:sz="4" w:space="0" w:color="auto"/>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电子信息工程</w:t>
            </w:r>
          </w:p>
        </w:tc>
        <w:tc>
          <w:tcPr>
            <w:tcW w:w="77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40</w:t>
            </w:r>
          </w:p>
        </w:tc>
        <w:tc>
          <w:tcPr>
            <w:tcW w:w="63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24</w:t>
            </w:r>
          </w:p>
        </w:tc>
        <w:tc>
          <w:tcPr>
            <w:tcW w:w="77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16</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single" w:sz="4" w:space="0" w:color="auto"/>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自动化</w:t>
            </w:r>
          </w:p>
        </w:tc>
        <w:tc>
          <w:tcPr>
            <w:tcW w:w="77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51</w:t>
            </w:r>
          </w:p>
        </w:tc>
        <w:tc>
          <w:tcPr>
            <w:tcW w:w="63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42</w:t>
            </w:r>
          </w:p>
        </w:tc>
        <w:tc>
          <w:tcPr>
            <w:tcW w:w="77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9</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single" w:sz="4" w:space="0" w:color="auto"/>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计算机科学与技术</w:t>
            </w:r>
          </w:p>
        </w:tc>
        <w:tc>
          <w:tcPr>
            <w:tcW w:w="77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54</w:t>
            </w:r>
          </w:p>
        </w:tc>
        <w:tc>
          <w:tcPr>
            <w:tcW w:w="63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32</w:t>
            </w:r>
          </w:p>
        </w:tc>
        <w:tc>
          <w:tcPr>
            <w:tcW w:w="776" w:type="dxa"/>
            <w:tcBorders>
              <w:top w:val="single" w:sz="4" w:space="0" w:color="auto"/>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22</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集成电路设计与集成系统</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31</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22</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9</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电子信息工程（光伏与微电子技术）</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54</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42</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12</w:t>
            </w:r>
          </w:p>
        </w:tc>
      </w:tr>
      <w:tr w:rsidR="00000000">
        <w:trPr>
          <w:cantSplit/>
          <w:trHeight w:val="227"/>
          <w:jc w:val="center"/>
        </w:trPr>
        <w:tc>
          <w:tcPr>
            <w:tcW w:w="1335" w:type="dxa"/>
            <w:vMerge w:val="restart"/>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工程学部</w:t>
            </w:r>
            <w:r>
              <w:rPr>
                <w:rFonts w:ascii="楷体_GB2312" w:eastAsia="楷体_GB2312" w:hAnsi="楷体_GB2312" w:cs="楷体_GB2312" w:hint="eastAsia"/>
                <w:kern w:val="0"/>
                <w:sz w:val="28"/>
                <w:szCs w:val="28"/>
              </w:rPr>
              <w:t>405</w:t>
            </w:r>
            <w:r>
              <w:rPr>
                <w:rFonts w:ascii="楷体_GB2312" w:eastAsia="楷体_GB2312" w:hAnsi="楷体_GB2312" w:cs="楷体_GB2312" w:hint="eastAsia"/>
                <w:kern w:val="0"/>
                <w:sz w:val="28"/>
                <w:szCs w:val="28"/>
              </w:rPr>
              <w:t>人</w:t>
            </w: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机械工程及自动化</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63</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52</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11</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土木工程</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65</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56</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9</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化学工程与工艺</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37</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29</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8</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轻化工程（染整工程）</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w:t>
            </w:r>
            <w:r>
              <w:rPr>
                <w:rFonts w:ascii="楷体_GB2312" w:eastAsia="楷体_GB2312" w:hAnsi="宋体" w:cs="楷体_GB2312" w:hint="eastAsia"/>
                <w:color w:val="000000"/>
                <w:kern w:val="0"/>
                <w:sz w:val="28"/>
                <w:szCs w:val="28"/>
                <w:lang/>
              </w:rPr>
              <w:t>7</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19</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18</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纺织工程（纺织品检验与贸易）</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60</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19</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41</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服装设计与工程</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45</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42</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服装设计与工程（服装艺术设计）</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42</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10</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32</w:t>
            </w:r>
          </w:p>
        </w:tc>
      </w:tr>
      <w:tr w:rsidR="00000000">
        <w:trPr>
          <w:cantSplit/>
          <w:trHeight w:val="227"/>
          <w:jc w:val="center"/>
        </w:trPr>
        <w:tc>
          <w:tcPr>
            <w:tcW w:w="1335" w:type="dxa"/>
            <w:vMerge/>
            <w:tcBorders>
              <w:top w:val="nil"/>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工程管理</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56</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21</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35</w:t>
            </w:r>
          </w:p>
        </w:tc>
      </w:tr>
      <w:tr w:rsidR="00000000">
        <w:trPr>
          <w:cantSplit/>
          <w:trHeight w:val="227"/>
          <w:jc w:val="center"/>
        </w:trPr>
        <w:tc>
          <w:tcPr>
            <w:tcW w:w="1335" w:type="dxa"/>
            <w:vMerge w:val="restart"/>
            <w:tcBorders>
              <w:top w:val="nil"/>
              <w:left w:val="single" w:sz="4" w:space="0" w:color="auto"/>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医学部</w:t>
            </w:r>
            <w:r>
              <w:rPr>
                <w:rFonts w:ascii="楷体_GB2312" w:eastAsia="楷体_GB2312" w:hAnsi="楷体_GB2312" w:cs="楷体_GB2312" w:hint="eastAsia"/>
                <w:kern w:val="0"/>
                <w:sz w:val="28"/>
                <w:szCs w:val="28"/>
              </w:rPr>
              <w:t>574</w:t>
            </w:r>
            <w:r>
              <w:rPr>
                <w:rFonts w:ascii="楷体_GB2312" w:eastAsia="楷体_GB2312" w:hAnsi="楷体_GB2312" w:cs="楷体_GB2312" w:hint="eastAsia"/>
                <w:kern w:val="0"/>
                <w:sz w:val="28"/>
                <w:szCs w:val="28"/>
              </w:rPr>
              <w:t>人</w:t>
            </w: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临床医学</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kern w:val="0"/>
                <w:sz w:val="28"/>
                <w:szCs w:val="28"/>
                <w:highlight w:val="yellow"/>
              </w:rPr>
            </w:pPr>
            <w:r>
              <w:rPr>
                <w:rFonts w:ascii="楷体_GB2312" w:eastAsia="楷体_GB2312" w:hAnsi="宋体" w:cs="楷体_GB2312" w:hint="eastAsia"/>
                <w:color w:val="000000"/>
                <w:kern w:val="0"/>
                <w:sz w:val="28"/>
                <w:szCs w:val="28"/>
                <w:lang/>
              </w:rPr>
              <w:t>357</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208</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149</w:t>
            </w:r>
          </w:p>
        </w:tc>
      </w:tr>
      <w:tr w:rsidR="00000000">
        <w:trPr>
          <w:cantSplit/>
          <w:trHeight w:val="227"/>
          <w:jc w:val="center"/>
        </w:trPr>
        <w:tc>
          <w:tcPr>
            <w:tcW w:w="1335" w:type="dxa"/>
            <w:vMerge/>
            <w:tcBorders>
              <w:left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护理学</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139</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138</w:t>
            </w:r>
          </w:p>
        </w:tc>
      </w:tr>
      <w:tr w:rsidR="00000000">
        <w:trPr>
          <w:cantSplit/>
          <w:trHeight w:val="227"/>
          <w:jc w:val="center"/>
        </w:trPr>
        <w:tc>
          <w:tcPr>
            <w:tcW w:w="1335" w:type="dxa"/>
            <w:vMerge/>
            <w:tcBorders>
              <w:left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医学检验</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43</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9</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34</w:t>
            </w:r>
          </w:p>
        </w:tc>
      </w:tr>
      <w:tr w:rsidR="00000000">
        <w:trPr>
          <w:cantSplit/>
          <w:trHeight w:val="227"/>
          <w:jc w:val="center"/>
        </w:trPr>
        <w:tc>
          <w:tcPr>
            <w:tcW w:w="1335" w:type="dxa"/>
            <w:vMerge/>
            <w:tcBorders>
              <w:left w:val="single" w:sz="4" w:space="0" w:color="auto"/>
              <w:bottom w:val="single" w:sz="4" w:space="0" w:color="000000"/>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医学影像</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35</w:t>
            </w:r>
          </w:p>
        </w:tc>
        <w:tc>
          <w:tcPr>
            <w:tcW w:w="63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10</w:t>
            </w:r>
          </w:p>
        </w:tc>
        <w:tc>
          <w:tcPr>
            <w:tcW w:w="776" w:type="dxa"/>
            <w:tcBorders>
              <w:top w:val="nil"/>
              <w:left w:val="nil"/>
              <w:bottom w:val="single" w:sz="4" w:space="0" w:color="auto"/>
              <w:right w:val="single" w:sz="4" w:space="0" w:color="auto"/>
            </w:tcBorders>
            <w:vAlign w:val="center"/>
          </w:tcPr>
          <w:p w:rsidR="00000000" w:rsidRDefault="00250BDB">
            <w:pPr>
              <w:widowControl/>
              <w:jc w:val="left"/>
              <w:textAlignment w:val="center"/>
              <w:rPr>
                <w:rFonts w:ascii="楷体_GB2312" w:eastAsia="楷体_GB2312" w:hAnsi="楷体_GB2312" w:cs="楷体_GB2312" w:hint="eastAsia"/>
                <w:kern w:val="0"/>
                <w:sz w:val="28"/>
                <w:szCs w:val="28"/>
                <w:highlight w:val="yellow"/>
              </w:rPr>
            </w:pPr>
            <w:r>
              <w:rPr>
                <w:rFonts w:ascii="楷体_GB2312" w:eastAsia="楷体_GB2312" w:hAnsi="宋体" w:cs="楷体_GB2312" w:hint="eastAsia"/>
                <w:color w:val="000000"/>
                <w:kern w:val="0"/>
                <w:sz w:val="28"/>
                <w:szCs w:val="28"/>
                <w:lang/>
              </w:rPr>
              <w:t>25</w:t>
            </w:r>
          </w:p>
        </w:tc>
      </w:tr>
      <w:tr w:rsidR="00000000">
        <w:trPr>
          <w:cantSplit/>
          <w:trHeight w:val="227"/>
          <w:jc w:val="center"/>
        </w:trPr>
        <w:tc>
          <w:tcPr>
            <w:tcW w:w="1335" w:type="dxa"/>
            <w:tcBorders>
              <w:top w:val="nil"/>
              <w:left w:val="single" w:sz="4" w:space="0" w:color="auto"/>
              <w:bottom w:val="single" w:sz="4" w:space="0" w:color="auto"/>
              <w:right w:val="single" w:sz="4" w:space="0" w:color="auto"/>
            </w:tcBorders>
            <w:vAlign w:val="center"/>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 xml:space="preserve">　</w:t>
            </w:r>
          </w:p>
        </w:tc>
        <w:tc>
          <w:tcPr>
            <w:tcW w:w="5144"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总人数</w:t>
            </w:r>
          </w:p>
        </w:tc>
        <w:tc>
          <w:tcPr>
            <w:tcW w:w="776" w:type="dxa"/>
            <w:tcBorders>
              <w:top w:val="nil"/>
              <w:left w:val="nil"/>
              <w:bottom w:val="single" w:sz="4" w:space="0" w:color="auto"/>
              <w:right w:val="single" w:sz="4" w:space="0" w:color="auto"/>
            </w:tcBorders>
            <w:vAlign w:val="center"/>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1975</w:t>
            </w:r>
          </w:p>
        </w:tc>
        <w:tc>
          <w:tcPr>
            <w:tcW w:w="636"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771</w:t>
            </w:r>
          </w:p>
        </w:tc>
        <w:tc>
          <w:tcPr>
            <w:tcW w:w="776"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1204</w:t>
            </w:r>
          </w:p>
        </w:tc>
      </w:tr>
    </w:tbl>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（三）毕业生的生源地分布</w:t>
      </w:r>
    </w:p>
    <w:p w:rsidR="00000000" w:rsidRDefault="00250BDB">
      <w:pPr>
        <w:spacing w:line="480" w:lineRule="auto"/>
        <w:ind w:firstLineChars="200" w:firstLine="560"/>
        <w:jc w:val="left"/>
        <w:rPr>
          <w:rFonts w:ascii="楷体_GB2312" w:eastAsia="楷体_GB2312" w:hAnsi="楷体_GB2312" w:cs="楷体_GB2312" w:hint="eastAsia"/>
          <w:b/>
          <w:bCs/>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届毕业生来源于</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个省、市，主要分布在江苏省，人数达到</w:t>
      </w:r>
      <w:r>
        <w:rPr>
          <w:rFonts w:ascii="楷体_GB2312" w:eastAsia="楷体_GB2312" w:hAnsi="楷体_GB2312" w:cs="楷体_GB2312" w:hint="eastAsia"/>
          <w:sz w:val="28"/>
          <w:szCs w:val="28"/>
        </w:rPr>
        <w:t>1786</w:t>
      </w:r>
      <w:r>
        <w:rPr>
          <w:rFonts w:ascii="楷体_GB2312" w:eastAsia="楷体_GB2312" w:hAnsi="楷体_GB2312" w:cs="楷体_GB2312" w:hint="eastAsia"/>
          <w:sz w:val="28"/>
          <w:szCs w:val="28"/>
        </w:rPr>
        <w:t>人，占比</w:t>
      </w:r>
      <w:r>
        <w:rPr>
          <w:rFonts w:ascii="楷体_GB2312" w:eastAsia="楷体_GB2312" w:hAnsi="楷体_GB2312" w:cs="楷体_GB2312" w:hint="eastAsia"/>
          <w:sz w:val="28"/>
          <w:szCs w:val="28"/>
        </w:rPr>
        <w:t>90.43%</w:t>
      </w:r>
      <w:r>
        <w:rPr>
          <w:rFonts w:ascii="楷体_GB2312" w:eastAsia="楷体_GB2312" w:hAnsi="楷体_GB2312" w:cs="楷体_GB2312" w:hint="eastAsia"/>
          <w:sz w:val="28"/>
          <w:szCs w:val="28"/>
        </w:rPr>
        <w:t>，其他省份人数</w:t>
      </w:r>
      <w:r>
        <w:rPr>
          <w:rFonts w:ascii="楷体_GB2312" w:eastAsia="楷体_GB2312" w:hAnsi="楷体_GB2312" w:cs="楷体_GB2312" w:hint="eastAsia"/>
          <w:sz w:val="28"/>
          <w:szCs w:val="28"/>
        </w:rPr>
        <w:t>为</w:t>
      </w:r>
      <w:r>
        <w:rPr>
          <w:rFonts w:ascii="楷体_GB2312" w:eastAsia="楷体_GB2312" w:hAnsi="楷体_GB2312" w:cs="楷体_GB2312" w:hint="eastAsia"/>
          <w:sz w:val="28"/>
          <w:szCs w:val="28"/>
        </w:rPr>
        <w:t>189</w:t>
      </w:r>
      <w:r>
        <w:rPr>
          <w:rFonts w:ascii="楷体_GB2312" w:eastAsia="楷体_GB2312" w:hAnsi="楷体_GB2312" w:cs="楷体_GB2312" w:hint="eastAsia"/>
          <w:sz w:val="28"/>
          <w:szCs w:val="28"/>
        </w:rPr>
        <w:t>人，占比</w:t>
      </w:r>
      <w:r>
        <w:rPr>
          <w:rFonts w:ascii="楷体_GB2312" w:eastAsia="楷体_GB2312" w:hAnsi="楷体_GB2312" w:cs="楷体_GB2312" w:hint="eastAsia"/>
          <w:sz w:val="28"/>
          <w:szCs w:val="28"/>
        </w:rPr>
        <w:t>9.57%</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1-2</w:t>
      </w:r>
      <w:r>
        <w:rPr>
          <w:rFonts w:ascii="楷体_GB2312" w:eastAsia="楷体_GB2312" w:hAnsi="楷体_GB2312" w:cs="楷体_GB2312" w:hint="eastAsia"/>
          <w:sz w:val="28"/>
          <w:szCs w:val="28"/>
        </w:rPr>
        <w:t>）。</w:t>
      </w:r>
    </w:p>
    <w:p w:rsidR="00000000" w:rsidRDefault="00250BDB">
      <w:pPr>
        <w:spacing w:line="480" w:lineRule="auto"/>
        <w:ind w:firstLineChars="200" w:firstLine="562"/>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lastRenderedPageBreak/>
        <w:t>表</w:t>
      </w:r>
      <w:r>
        <w:rPr>
          <w:rFonts w:ascii="楷体_GB2312" w:eastAsia="楷体_GB2312" w:hAnsi="楷体_GB2312" w:cs="楷体_GB2312" w:hint="eastAsia"/>
          <w:b/>
          <w:bCs/>
          <w:sz w:val="28"/>
          <w:szCs w:val="28"/>
        </w:rPr>
        <w:t>1-2  2015</w:t>
      </w:r>
      <w:r>
        <w:rPr>
          <w:rFonts w:ascii="楷体_GB2312" w:eastAsia="楷体_GB2312" w:hAnsi="楷体_GB2312" w:cs="楷体_GB2312" w:hint="eastAsia"/>
          <w:b/>
          <w:bCs/>
          <w:sz w:val="28"/>
          <w:szCs w:val="28"/>
        </w:rPr>
        <w:t>届毕业生生源地分布情况统计表</w:t>
      </w:r>
    </w:p>
    <w:tbl>
      <w:tblPr>
        <w:tblW w:w="0" w:type="auto"/>
        <w:jc w:val="center"/>
        <w:tblInd w:w="0" w:type="dxa"/>
        <w:tblLayout w:type="fixed"/>
        <w:tblLook w:val="0000"/>
      </w:tblPr>
      <w:tblGrid>
        <w:gridCol w:w="1008"/>
        <w:gridCol w:w="1275"/>
        <w:gridCol w:w="1842"/>
        <w:gridCol w:w="1842"/>
      </w:tblGrid>
      <w:tr w:rsidR="00000000">
        <w:trPr>
          <w:trHeight w:val="285"/>
          <w:jc w:val="center"/>
        </w:trPr>
        <w:tc>
          <w:tcPr>
            <w:tcW w:w="1008" w:type="dxa"/>
            <w:tcBorders>
              <w:top w:val="single" w:sz="4" w:space="0" w:color="auto"/>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序号</w:t>
            </w:r>
          </w:p>
        </w:tc>
        <w:tc>
          <w:tcPr>
            <w:tcW w:w="1275"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省份</w:t>
            </w:r>
          </w:p>
        </w:tc>
        <w:tc>
          <w:tcPr>
            <w:tcW w:w="1842"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本科生人数</w:t>
            </w:r>
          </w:p>
        </w:tc>
        <w:tc>
          <w:tcPr>
            <w:tcW w:w="1842" w:type="dxa"/>
            <w:tcBorders>
              <w:top w:val="single" w:sz="4" w:space="0" w:color="auto"/>
              <w:left w:val="nil"/>
              <w:bottom w:val="single" w:sz="4" w:space="0" w:color="auto"/>
              <w:right w:val="single" w:sz="4" w:space="0" w:color="auto"/>
            </w:tcBorders>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比例（</w:t>
            </w:r>
            <w:r>
              <w:rPr>
                <w:rFonts w:ascii="楷体_GB2312" w:eastAsia="楷体_GB2312" w:hAnsi="楷体_GB2312" w:cs="楷体_GB2312" w:hint="eastAsia"/>
                <w:b/>
                <w:bCs/>
                <w:kern w:val="0"/>
                <w:sz w:val="28"/>
                <w:szCs w:val="28"/>
              </w:rPr>
              <w:t>%</w:t>
            </w:r>
            <w:r>
              <w:rPr>
                <w:rFonts w:ascii="楷体_GB2312" w:eastAsia="楷体_GB2312" w:hAnsi="楷体_GB2312" w:cs="楷体_GB2312" w:hint="eastAsia"/>
                <w:b/>
                <w:bCs/>
                <w:kern w:val="0"/>
                <w:sz w:val="28"/>
                <w:szCs w:val="28"/>
              </w:rPr>
              <w:t>）</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1</w:t>
            </w:r>
          </w:p>
        </w:tc>
        <w:tc>
          <w:tcPr>
            <w:tcW w:w="1275" w:type="dxa"/>
            <w:tcBorders>
              <w:top w:val="nil"/>
              <w:left w:val="nil"/>
              <w:bottom w:val="single" w:sz="4" w:space="0" w:color="auto"/>
              <w:right w:val="single" w:sz="4" w:space="0" w:color="auto"/>
            </w:tcBorders>
            <w:vAlign w:val="center"/>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江苏省</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1786</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90.43%</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2</w:t>
            </w:r>
          </w:p>
        </w:tc>
        <w:tc>
          <w:tcPr>
            <w:tcW w:w="1275" w:type="dxa"/>
            <w:tcBorders>
              <w:top w:val="nil"/>
              <w:left w:val="nil"/>
              <w:bottom w:val="single" w:sz="4" w:space="0" w:color="auto"/>
              <w:right w:val="single" w:sz="4" w:space="0" w:color="auto"/>
            </w:tcBorders>
            <w:vAlign w:val="bottom"/>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安徽省</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43</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2.18%</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3</w:t>
            </w:r>
          </w:p>
        </w:tc>
        <w:tc>
          <w:tcPr>
            <w:tcW w:w="1275" w:type="dxa"/>
            <w:tcBorders>
              <w:top w:val="nil"/>
              <w:left w:val="nil"/>
              <w:bottom w:val="single" w:sz="4" w:space="0" w:color="auto"/>
              <w:right w:val="single" w:sz="4" w:space="0" w:color="auto"/>
            </w:tcBorders>
            <w:vAlign w:val="bottom"/>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福建省</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34</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1.72%</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4</w:t>
            </w:r>
          </w:p>
        </w:tc>
        <w:tc>
          <w:tcPr>
            <w:tcW w:w="1275" w:type="dxa"/>
            <w:tcBorders>
              <w:top w:val="nil"/>
              <w:left w:val="nil"/>
              <w:bottom w:val="single" w:sz="4" w:space="0" w:color="auto"/>
              <w:right w:val="single" w:sz="4" w:space="0" w:color="auto"/>
            </w:tcBorders>
            <w:vAlign w:val="bottom"/>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广东省</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2</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0.10%</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6</w:t>
            </w:r>
          </w:p>
        </w:tc>
        <w:tc>
          <w:tcPr>
            <w:tcW w:w="1275" w:type="dxa"/>
            <w:tcBorders>
              <w:top w:val="nil"/>
              <w:left w:val="nil"/>
              <w:bottom w:val="single" w:sz="4" w:space="0" w:color="auto"/>
              <w:right w:val="single" w:sz="4" w:space="0" w:color="auto"/>
            </w:tcBorders>
            <w:vAlign w:val="bottom"/>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山东省</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6</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0.30%</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7</w:t>
            </w:r>
          </w:p>
        </w:tc>
        <w:tc>
          <w:tcPr>
            <w:tcW w:w="1275" w:type="dxa"/>
            <w:tcBorders>
              <w:top w:val="nil"/>
              <w:left w:val="nil"/>
              <w:bottom w:val="single" w:sz="4" w:space="0" w:color="auto"/>
              <w:right w:val="single" w:sz="4" w:space="0" w:color="auto"/>
            </w:tcBorders>
            <w:vAlign w:val="bottom"/>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上海市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34</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1.72%</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8</w:t>
            </w:r>
          </w:p>
        </w:tc>
        <w:tc>
          <w:tcPr>
            <w:tcW w:w="1275" w:type="dxa"/>
            <w:tcBorders>
              <w:top w:val="nil"/>
              <w:left w:val="nil"/>
              <w:bottom w:val="single" w:sz="4" w:space="0" w:color="auto"/>
              <w:right w:val="single" w:sz="4" w:space="0" w:color="auto"/>
            </w:tcBorders>
            <w:vAlign w:val="bottom"/>
          </w:tcPr>
          <w:p w:rsidR="00000000" w:rsidRDefault="00250BDB">
            <w:pPr>
              <w:widowControl/>
              <w:spacing w:line="480" w:lineRule="auto"/>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浙江省</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70</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3.55%</w:t>
            </w:r>
          </w:p>
        </w:tc>
      </w:tr>
    </w:tbl>
    <w:p w:rsidR="00000000" w:rsidRDefault="00250BDB">
      <w:pPr>
        <w:spacing w:line="480" w:lineRule="auto"/>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 xml:space="preserve">    </w:t>
      </w:r>
    </w:p>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我院江苏生源主要分布在南通、苏州、盐城、宿迁、扬州、泰州、无锡等地（见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1-3</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250BDB">
      <w:pPr>
        <w:spacing w:line="480" w:lineRule="auto"/>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1-3  2015</w:t>
      </w:r>
      <w:r>
        <w:rPr>
          <w:rFonts w:ascii="楷体_GB2312" w:eastAsia="楷体_GB2312" w:hAnsi="楷体_GB2312" w:cs="楷体_GB2312" w:hint="eastAsia"/>
          <w:b/>
          <w:bCs/>
          <w:sz w:val="28"/>
          <w:szCs w:val="28"/>
        </w:rPr>
        <w:t>届毕业生江苏生源分布情况统计表</w:t>
      </w:r>
    </w:p>
    <w:tbl>
      <w:tblPr>
        <w:tblW w:w="0" w:type="auto"/>
        <w:jc w:val="center"/>
        <w:tblInd w:w="0" w:type="dxa"/>
        <w:tblLayout w:type="fixed"/>
        <w:tblLook w:val="0000"/>
      </w:tblPr>
      <w:tblGrid>
        <w:gridCol w:w="1008"/>
        <w:gridCol w:w="1560"/>
        <w:gridCol w:w="1842"/>
        <w:gridCol w:w="1842"/>
      </w:tblGrid>
      <w:tr w:rsidR="00000000">
        <w:trPr>
          <w:trHeight w:val="285"/>
          <w:jc w:val="center"/>
        </w:trPr>
        <w:tc>
          <w:tcPr>
            <w:tcW w:w="1008" w:type="dxa"/>
            <w:tcBorders>
              <w:top w:val="single" w:sz="4" w:space="0" w:color="auto"/>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序号</w:t>
            </w:r>
          </w:p>
        </w:tc>
        <w:tc>
          <w:tcPr>
            <w:tcW w:w="1560"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辖市</w:t>
            </w:r>
          </w:p>
        </w:tc>
        <w:tc>
          <w:tcPr>
            <w:tcW w:w="1842"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本科生人数</w:t>
            </w:r>
          </w:p>
        </w:tc>
        <w:tc>
          <w:tcPr>
            <w:tcW w:w="1842" w:type="dxa"/>
            <w:tcBorders>
              <w:top w:val="single" w:sz="4" w:space="0" w:color="auto"/>
              <w:left w:val="nil"/>
              <w:bottom w:val="single" w:sz="4" w:space="0" w:color="auto"/>
              <w:right w:val="single" w:sz="4" w:space="0" w:color="auto"/>
            </w:tcBorders>
          </w:tcPr>
          <w:p w:rsidR="00000000" w:rsidRDefault="00250BDB">
            <w:pPr>
              <w:widowControl/>
              <w:spacing w:line="480" w:lineRule="auto"/>
              <w:jc w:val="center"/>
              <w:rPr>
                <w:rFonts w:ascii="楷体_GB2312" w:eastAsia="楷体_GB2312" w:hAnsi="楷体_GB2312" w:cs="楷体_GB2312"/>
                <w:b/>
                <w:bCs/>
                <w:kern w:val="0"/>
                <w:sz w:val="28"/>
                <w:szCs w:val="28"/>
              </w:rPr>
            </w:pPr>
            <w:r>
              <w:rPr>
                <w:rFonts w:ascii="楷体_GB2312" w:eastAsia="楷体_GB2312" w:hAnsi="楷体_GB2312" w:cs="楷体_GB2312" w:hint="eastAsia"/>
                <w:b/>
                <w:bCs/>
                <w:kern w:val="0"/>
                <w:sz w:val="28"/>
                <w:szCs w:val="28"/>
              </w:rPr>
              <w:t>比例（</w:t>
            </w:r>
            <w:r>
              <w:rPr>
                <w:rFonts w:ascii="楷体_GB2312" w:eastAsia="楷体_GB2312" w:hAnsi="楷体_GB2312" w:cs="楷体_GB2312" w:hint="eastAsia"/>
                <w:b/>
                <w:bCs/>
                <w:kern w:val="0"/>
                <w:sz w:val="28"/>
                <w:szCs w:val="28"/>
              </w:rPr>
              <w:t>%</w:t>
            </w:r>
            <w:r>
              <w:rPr>
                <w:rFonts w:ascii="楷体_GB2312" w:eastAsia="楷体_GB2312" w:hAnsi="楷体_GB2312" w:cs="楷体_GB2312" w:hint="eastAsia"/>
                <w:b/>
                <w:bCs/>
                <w:kern w:val="0"/>
                <w:sz w:val="28"/>
                <w:szCs w:val="28"/>
              </w:rPr>
              <w:t>）</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1</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常州市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59</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2.99%</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2</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淮安市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53</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2.68%</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3</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连云港</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44</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2.23%</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4</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南京市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36</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1.82%</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5</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南通市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624</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31.6%</w:t>
            </w:r>
          </w:p>
        </w:tc>
      </w:tr>
      <w:tr w:rsidR="00000000">
        <w:trPr>
          <w:trHeight w:val="285"/>
          <w:jc w:val="center"/>
        </w:trPr>
        <w:tc>
          <w:tcPr>
            <w:tcW w:w="1008" w:type="dxa"/>
            <w:tcBorders>
              <w:top w:val="single" w:sz="4" w:space="0" w:color="auto"/>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6</w:t>
            </w:r>
          </w:p>
        </w:tc>
        <w:tc>
          <w:tcPr>
            <w:tcW w:w="1560"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苏州市</w:t>
            </w:r>
          </w:p>
        </w:tc>
        <w:tc>
          <w:tcPr>
            <w:tcW w:w="1842"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292</w:t>
            </w:r>
          </w:p>
        </w:tc>
        <w:tc>
          <w:tcPr>
            <w:tcW w:w="1842" w:type="dxa"/>
            <w:tcBorders>
              <w:top w:val="single" w:sz="4" w:space="0" w:color="auto"/>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14.78%</w:t>
            </w:r>
          </w:p>
        </w:tc>
      </w:tr>
      <w:tr w:rsidR="00000000">
        <w:trPr>
          <w:trHeight w:val="285"/>
          <w:jc w:val="center"/>
        </w:trPr>
        <w:tc>
          <w:tcPr>
            <w:tcW w:w="1008" w:type="dxa"/>
            <w:tcBorders>
              <w:top w:val="single" w:sz="4" w:space="0" w:color="auto"/>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7</w:t>
            </w:r>
          </w:p>
        </w:tc>
        <w:tc>
          <w:tcPr>
            <w:tcW w:w="1560"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宿迁市</w:t>
            </w:r>
          </w:p>
        </w:tc>
        <w:tc>
          <w:tcPr>
            <w:tcW w:w="1842"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109</w:t>
            </w:r>
          </w:p>
        </w:tc>
        <w:tc>
          <w:tcPr>
            <w:tcW w:w="1842" w:type="dxa"/>
            <w:tcBorders>
              <w:top w:val="single" w:sz="4" w:space="0" w:color="auto"/>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5.52%</w:t>
            </w:r>
          </w:p>
        </w:tc>
      </w:tr>
      <w:tr w:rsidR="00000000">
        <w:trPr>
          <w:trHeight w:val="285"/>
          <w:jc w:val="center"/>
        </w:trPr>
        <w:tc>
          <w:tcPr>
            <w:tcW w:w="1008" w:type="dxa"/>
            <w:tcBorders>
              <w:top w:val="single" w:sz="4" w:space="0" w:color="auto"/>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lastRenderedPageBreak/>
              <w:t>8</w:t>
            </w:r>
          </w:p>
        </w:tc>
        <w:tc>
          <w:tcPr>
            <w:tcW w:w="1560"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泰州市</w:t>
            </w:r>
          </w:p>
        </w:tc>
        <w:tc>
          <w:tcPr>
            <w:tcW w:w="1842"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105</w:t>
            </w:r>
          </w:p>
        </w:tc>
        <w:tc>
          <w:tcPr>
            <w:tcW w:w="1842" w:type="dxa"/>
            <w:tcBorders>
              <w:top w:val="single" w:sz="4" w:space="0" w:color="auto"/>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5.32%</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9</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无锡市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102</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5.16%</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10</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徐州市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62</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3.14%</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11</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盐城市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147</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7.44%</w:t>
            </w:r>
          </w:p>
        </w:tc>
      </w:tr>
      <w:tr w:rsidR="00000000">
        <w:trPr>
          <w:trHeight w:val="285"/>
          <w:jc w:val="center"/>
        </w:trPr>
        <w:tc>
          <w:tcPr>
            <w:tcW w:w="1008" w:type="dxa"/>
            <w:tcBorders>
              <w:top w:val="nil"/>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12</w:t>
            </w:r>
          </w:p>
        </w:tc>
        <w:tc>
          <w:tcPr>
            <w:tcW w:w="1560"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扬州市</w:t>
            </w:r>
          </w:p>
        </w:tc>
        <w:tc>
          <w:tcPr>
            <w:tcW w:w="1842" w:type="dxa"/>
            <w:tcBorders>
              <w:top w:val="nil"/>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106</w:t>
            </w:r>
          </w:p>
        </w:tc>
        <w:tc>
          <w:tcPr>
            <w:tcW w:w="1842" w:type="dxa"/>
            <w:tcBorders>
              <w:top w:val="nil"/>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5.37%</w:t>
            </w:r>
          </w:p>
        </w:tc>
      </w:tr>
      <w:tr w:rsidR="00000000">
        <w:trPr>
          <w:trHeight w:val="285"/>
          <w:jc w:val="center"/>
        </w:trPr>
        <w:tc>
          <w:tcPr>
            <w:tcW w:w="1008" w:type="dxa"/>
            <w:tcBorders>
              <w:top w:val="single" w:sz="4" w:space="0" w:color="auto"/>
              <w:left w:val="single" w:sz="4" w:space="0" w:color="auto"/>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13</w:t>
            </w:r>
          </w:p>
        </w:tc>
        <w:tc>
          <w:tcPr>
            <w:tcW w:w="1560"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镇江市</w:t>
            </w:r>
          </w:p>
        </w:tc>
        <w:tc>
          <w:tcPr>
            <w:tcW w:w="1842" w:type="dxa"/>
            <w:tcBorders>
              <w:top w:val="single" w:sz="4" w:space="0" w:color="auto"/>
              <w:left w:val="nil"/>
              <w:bottom w:val="single" w:sz="4" w:space="0" w:color="auto"/>
              <w:right w:val="single" w:sz="4" w:space="0" w:color="auto"/>
            </w:tcBorders>
            <w:vAlign w:val="bottom"/>
          </w:tcPr>
          <w:p w:rsidR="00000000" w:rsidRDefault="00250BDB">
            <w:pPr>
              <w:widowControl/>
              <w:spacing w:line="480" w:lineRule="auto"/>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47</w:t>
            </w:r>
          </w:p>
        </w:tc>
        <w:tc>
          <w:tcPr>
            <w:tcW w:w="1842" w:type="dxa"/>
            <w:tcBorders>
              <w:top w:val="single" w:sz="4" w:space="0" w:color="auto"/>
              <w:left w:val="nil"/>
              <w:bottom w:val="single" w:sz="4" w:space="0" w:color="auto"/>
              <w:right w:val="single" w:sz="4" w:space="0" w:color="auto"/>
            </w:tcBorders>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2.38%</w:t>
            </w:r>
          </w:p>
        </w:tc>
      </w:tr>
    </w:tbl>
    <w:p w:rsidR="00000000" w:rsidRDefault="00250BDB">
      <w:pPr>
        <w:spacing w:line="480" w:lineRule="auto"/>
        <w:ind w:firstLineChars="147" w:firstLine="472"/>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三、就业率</w:t>
      </w:r>
    </w:p>
    <w:p w:rsidR="00000000" w:rsidRDefault="00250BDB">
      <w:pPr>
        <w:spacing w:line="480" w:lineRule="auto"/>
        <w:ind w:left="4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就业率是反映</w:t>
      </w:r>
      <w:r>
        <w:rPr>
          <w:rFonts w:ascii="楷体_GB2312" w:eastAsia="楷体_GB2312" w:hAnsi="楷体_GB2312" w:cs="楷体_GB2312" w:hint="eastAsia"/>
          <w:sz w:val="28"/>
          <w:szCs w:val="28"/>
        </w:rPr>
        <w:t>在校大学生就业情况和社会对学校毕业生需求程度的重要指示和参考依据，高校毕业生就业率计算公式为：毕业生就业率</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（毕业生就业人数÷毕业生总人数）×</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w:t>
      </w:r>
    </w:p>
    <w:p w:rsidR="00000000" w:rsidRDefault="00250BDB">
      <w:pPr>
        <w:numPr>
          <w:ilvl w:val="0"/>
          <w:numId w:val="4"/>
        </w:numPr>
        <w:spacing w:line="480" w:lineRule="auto"/>
        <w:jc w:val="lef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毕业生总体就业率</w:t>
      </w:r>
    </w:p>
    <w:p w:rsidR="00000000" w:rsidRDefault="00250BDB">
      <w:pPr>
        <w:spacing w:line="480" w:lineRule="auto"/>
        <w:ind w:left="420"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截至</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25</w:t>
      </w:r>
      <w:r>
        <w:rPr>
          <w:rFonts w:ascii="楷体_GB2312" w:eastAsia="楷体_GB2312" w:hAnsi="楷体_GB2312" w:cs="楷体_GB2312" w:hint="eastAsia"/>
          <w:sz w:val="28"/>
          <w:szCs w:val="28"/>
        </w:rPr>
        <w:t>日，我院毕业生年终就业率为</w:t>
      </w:r>
      <w:r>
        <w:rPr>
          <w:rFonts w:ascii="楷体_GB2312" w:eastAsia="楷体_GB2312" w:hAnsi="楷体_GB2312" w:cs="楷体_GB2312" w:hint="eastAsia"/>
          <w:sz w:val="28"/>
          <w:szCs w:val="28"/>
        </w:rPr>
        <w:t>97.92%</w:t>
      </w:r>
      <w:r>
        <w:rPr>
          <w:rFonts w:ascii="楷体_GB2312" w:eastAsia="楷体_GB2312" w:hAnsi="楷体_GB2312" w:cs="楷体_GB2312" w:hint="eastAsia"/>
          <w:sz w:val="28"/>
          <w:szCs w:val="28"/>
        </w:rPr>
        <w:t>，其中人文学部、理学部、经济与管理学部为</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，信息科学部为</w:t>
      </w:r>
      <w:r>
        <w:rPr>
          <w:rFonts w:ascii="楷体_GB2312" w:eastAsia="楷体_GB2312" w:hAnsi="楷体_GB2312" w:cs="楷体_GB2312" w:hint="eastAsia"/>
          <w:sz w:val="28"/>
          <w:szCs w:val="28"/>
        </w:rPr>
        <w:t>98.70%</w:t>
      </w:r>
      <w:r>
        <w:rPr>
          <w:rFonts w:ascii="楷体_GB2312" w:eastAsia="楷体_GB2312" w:hAnsi="楷体_GB2312" w:cs="楷体_GB2312" w:hint="eastAsia"/>
          <w:sz w:val="28"/>
          <w:szCs w:val="28"/>
        </w:rPr>
        <w:t>，工程学部为</w:t>
      </w:r>
      <w:r>
        <w:rPr>
          <w:rFonts w:ascii="楷体_GB2312" w:eastAsia="楷体_GB2312" w:hAnsi="楷体_GB2312" w:cs="楷体_GB2312" w:hint="eastAsia"/>
          <w:sz w:val="28"/>
          <w:szCs w:val="28"/>
        </w:rPr>
        <w:t>99.01%</w:t>
      </w:r>
      <w:r>
        <w:rPr>
          <w:rFonts w:ascii="楷体_GB2312" w:eastAsia="楷体_GB2312" w:hAnsi="楷体_GB2312" w:cs="楷体_GB2312" w:hint="eastAsia"/>
          <w:sz w:val="28"/>
          <w:szCs w:val="28"/>
        </w:rPr>
        <w:t>，医学部为</w:t>
      </w:r>
      <w:r>
        <w:rPr>
          <w:rFonts w:ascii="楷体_GB2312" w:eastAsia="楷体_GB2312" w:hAnsi="楷体_GB2312" w:cs="楷体_GB2312" w:hint="eastAsia"/>
          <w:sz w:val="28"/>
          <w:szCs w:val="28"/>
        </w:rPr>
        <w:t>94.08%</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1-4</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个学部的年终就业率水平总体较为均衡，其中医学部相对较低的原因是医学生到医疗卫生系统就业，必须于毕业当年的下半年参加当地统一考试，如未能通过，</w:t>
      </w:r>
      <w:r>
        <w:rPr>
          <w:rFonts w:ascii="楷体_GB2312" w:eastAsia="楷体_GB2312" w:hAnsi="楷体_GB2312" w:cs="楷体_GB2312" w:hint="eastAsia"/>
          <w:sz w:val="28"/>
          <w:szCs w:val="28"/>
        </w:rPr>
        <w:t>则于毕业第二年三月份才有机会参加考试。</w:t>
      </w:r>
    </w:p>
    <w:p w:rsidR="00000000" w:rsidRDefault="00F86454">
      <w:pPr>
        <w:spacing w:line="480" w:lineRule="auto"/>
        <w:jc w:val="center"/>
        <w:rPr>
          <w:rFonts w:ascii="楷体_GB2312" w:eastAsia="楷体_GB2312" w:hAnsi="楷体_GB2312" w:cs="楷体_GB2312"/>
          <w:sz w:val="28"/>
          <w:szCs w:val="28"/>
        </w:rPr>
      </w:pPr>
      <w:r>
        <w:rPr>
          <w:noProof/>
        </w:rPr>
        <w:lastRenderedPageBreak/>
        <w:drawing>
          <wp:inline distT="0" distB="0" distL="0" distR="0">
            <wp:extent cx="5868562" cy="2859711"/>
            <wp:effectExtent l="4472" t="3413" r="13416" b="3901"/>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50BDB">
        <w:rPr>
          <w:rFonts w:ascii="楷体_GB2312" w:eastAsia="楷体_GB2312" w:hAnsi="楷体_GB2312" w:cs="楷体_GB2312" w:hint="eastAsia"/>
          <w:b/>
          <w:bCs/>
          <w:sz w:val="28"/>
          <w:szCs w:val="28"/>
        </w:rPr>
        <w:t>图</w:t>
      </w:r>
      <w:r w:rsidR="00250BDB">
        <w:rPr>
          <w:rFonts w:ascii="楷体_GB2312" w:eastAsia="楷体_GB2312" w:hAnsi="楷体_GB2312" w:cs="楷体_GB2312" w:hint="eastAsia"/>
          <w:b/>
          <w:bCs/>
          <w:sz w:val="28"/>
          <w:szCs w:val="28"/>
        </w:rPr>
        <w:t>1-4  2015</w:t>
      </w:r>
      <w:r w:rsidR="00250BDB">
        <w:rPr>
          <w:rFonts w:ascii="楷体_GB2312" w:eastAsia="楷体_GB2312" w:hAnsi="楷体_GB2312" w:cs="楷体_GB2312" w:hint="eastAsia"/>
          <w:b/>
          <w:bCs/>
          <w:sz w:val="28"/>
          <w:szCs w:val="28"/>
        </w:rPr>
        <w:t>届毕业生各学部年终就业率情况</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（二）各专业就业率</w:t>
      </w:r>
    </w:p>
    <w:p w:rsidR="00000000" w:rsidRDefault="00250BDB">
      <w:pPr>
        <w:spacing w:line="480" w:lineRule="auto"/>
        <w:ind w:left="420" w:firstLine="57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届毕业生各专业年终就业率均在</w:t>
      </w:r>
      <w:r>
        <w:rPr>
          <w:rFonts w:ascii="楷体_GB2312" w:eastAsia="楷体_GB2312" w:hAnsi="楷体_GB2312" w:cs="楷体_GB2312" w:hint="eastAsia"/>
          <w:sz w:val="28"/>
          <w:szCs w:val="28"/>
        </w:rPr>
        <w:t>93%</w:t>
      </w:r>
      <w:r>
        <w:rPr>
          <w:rFonts w:ascii="楷体_GB2312" w:eastAsia="楷体_GB2312" w:hAnsi="楷体_GB2312" w:cs="楷体_GB2312" w:hint="eastAsia"/>
          <w:sz w:val="28"/>
          <w:szCs w:val="28"/>
        </w:rPr>
        <w:t>以上。其中，汉语言文学（高级文秘）、汉语言文学（新闻传媒与文化创意）、英语、英语（商务英语）、日语、日语（商务日语）、艺术设计、动画、国际经济与贸易、市场营销、市场营销（物流管理）、行政管理、会计学、计算机科学、自动化、集成电路设计与集成系统、服装设计与工程、土木工程</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、化学工程</w:t>
      </w:r>
      <w:r>
        <w:rPr>
          <w:rFonts w:ascii="楷体_GB2312" w:eastAsia="楷体_GB2312" w:hAnsi="楷体_GB2312" w:cs="楷体_GB2312" w:hint="eastAsia"/>
          <w:sz w:val="28"/>
          <w:szCs w:val="28"/>
        </w:rPr>
        <w:t>与工艺、轻化工程（染整工程）、服装设计与工程（服装艺术设计）、工程管理、资源环境与城乡规划管理、统计学（金融统计）、应用心理学等</w:t>
      </w:r>
      <w:r>
        <w:rPr>
          <w:rFonts w:ascii="楷体_GB2312" w:eastAsia="楷体_GB2312" w:hAnsi="楷体_GB2312" w:cs="楷体_GB2312" w:hint="eastAsia"/>
          <w:sz w:val="28"/>
          <w:szCs w:val="28"/>
        </w:rPr>
        <w:t>25</w:t>
      </w:r>
      <w:r>
        <w:rPr>
          <w:rFonts w:ascii="楷体_GB2312" w:eastAsia="楷体_GB2312" w:hAnsi="楷体_GB2312" w:cs="楷体_GB2312" w:hint="eastAsia"/>
          <w:sz w:val="28"/>
          <w:szCs w:val="28"/>
        </w:rPr>
        <w:t>个专业，年终就业率均达</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1-4</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250BDB">
      <w:pPr>
        <w:spacing w:line="480" w:lineRule="auto"/>
        <w:ind w:left="420"/>
        <w:jc w:val="center"/>
        <w:rPr>
          <w:rFonts w:ascii="楷体_GB2312" w:eastAsia="楷体_GB2312" w:hAnsi="楷体_GB2312" w:cs="楷体_GB2312" w:hint="eastAsia"/>
          <w:b/>
          <w:sz w:val="28"/>
          <w:szCs w:val="28"/>
        </w:rPr>
      </w:pPr>
    </w:p>
    <w:p w:rsidR="00000000" w:rsidRDefault="00250BDB">
      <w:pPr>
        <w:spacing w:line="480" w:lineRule="auto"/>
        <w:ind w:left="420"/>
        <w:jc w:val="center"/>
        <w:rPr>
          <w:rFonts w:ascii="楷体_GB2312" w:eastAsia="楷体_GB2312" w:hAnsi="楷体_GB2312" w:cs="楷体_GB2312" w:hint="eastAsia"/>
          <w:b/>
          <w:sz w:val="28"/>
          <w:szCs w:val="28"/>
        </w:rPr>
      </w:pPr>
    </w:p>
    <w:p w:rsidR="00000000" w:rsidRDefault="00250BDB">
      <w:pPr>
        <w:spacing w:line="480" w:lineRule="auto"/>
        <w:ind w:left="420"/>
        <w:jc w:val="center"/>
        <w:rPr>
          <w:rFonts w:ascii="楷体_GB2312" w:eastAsia="楷体_GB2312" w:hAnsi="楷体_GB2312" w:cs="楷体_GB2312" w:hint="eastAsia"/>
          <w:b/>
          <w:sz w:val="28"/>
          <w:szCs w:val="28"/>
        </w:rPr>
      </w:pPr>
    </w:p>
    <w:p w:rsidR="00000000" w:rsidRDefault="00250BDB">
      <w:pPr>
        <w:spacing w:line="480" w:lineRule="auto"/>
        <w:ind w:left="420"/>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lastRenderedPageBreak/>
        <w:t>表</w:t>
      </w:r>
      <w:r>
        <w:rPr>
          <w:rFonts w:ascii="楷体_GB2312" w:eastAsia="楷体_GB2312" w:hAnsi="楷体_GB2312" w:cs="楷体_GB2312" w:hint="eastAsia"/>
          <w:b/>
          <w:sz w:val="28"/>
          <w:szCs w:val="28"/>
        </w:rPr>
        <w:t>1-4  2015</w:t>
      </w:r>
      <w:r>
        <w:rPr>
          <w:rFonts w:ascii="楷体_GB2312" w:eastAsia="楷体_GB2312" w:hAnsi="楷体_GB2312" w:cs="楷体_GB2312" w:hint="eastAsia"/>
          <w:b/>
          <w:sz w:val="28"/>
          <w:szCs w:val="28"/>
        </w:rPr>
        <w:t>届各专业毕业生就业率统计表</w:t>
      </w:r>
    </w:p>
    <w:tbl>
      <w:tblPr>
        <w:tblW w:w="0" w:type="auto"/>
        <w:jc w:val="center"/>
        <w:tblInd w:w="0" w:type="dxa"/>
        <w:tblLayout w:type="fixed"/>
        <w:tblCellMar>
          <w:left w:w="0" w:type="dxa"/>
          <w:right w:w="0" w:type="dxa"/>
        </w:tblCellMar>
        <w:tblLook w:val="0000"/>
      </w:tblPr>
      <w:tblGrid>
        <w:gridCol w:w="460"/>
        <w:gridCol w:w="2240"/>
        <w:gridCol w:w="900"/>
        <w:gridCol w:w="940"/>
        <w:gridCol w:w="540"/>
        <w:gridCol w:w="2320"/>
        <w:gridCol w:w="880"/>
        <w:gridCol w:w="999"/>
      </w:tblGrid>
      <w:tr w:rsidR="00000000">
        <w:trPr>
          <w:trHeight w:val="312"/>
          <w:jc w:val="center"/>
        </w:trPr>
        <w:tc>
          <w:tcPr>
            <w:tcW w:w="46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序号</w:t>
            </w:r>
          </w:p>
        </w:tc>
        <w:tc>
          <w:tcPr>
            <w:tcW w:w="224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专业名称</w:t>
            </w:r>
          </w:p>
        </w:tc>
        <w:tc>
          <w:tcPr>
            <w:tcW w:w="90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毕业生人数</w:t>
            </w:r>
          </w:p>
        </w:tc>
        <w:tc>
          <w:tcPr>
            <w:tcW w:w="94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年终就业率</w:t>
            </w:r>
          </w:p>
        </w:tc>
        <w:tc>
          <w:tcPr>
            <w:tcW w:w="54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序号</w:t>
            </w:r>
          </w:p>
        </w:tc>
        <w:tc>
          <w:tcPr>
            <w:tcW w:w="232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专业名称</w:t>
            </w:r>
          </w:p>
        </w:tc>
        <w:tc>
          <w:tcPr>
            <w:tcW w:w="8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毕业生人数</w:t>
            </w:r>
          </w:p>
        </w:tc>
        <w:tc>
          <w:tcPr>
            <w:tcW w:w="99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年终就业率</w:t>
            </w:r>
          </w:p>
        </w:tc>
      </w:tr>
      <w:tr w:rsidR="00000000">
        <w:trPr>
          <w:trHeight w:val="465"/>
          <w:jc w:val="center"/>
        </w:trPr>
        <w:tc>
          <w:tcPr>
            <w:tcW w:w="46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jc w:val="center"/>
              <w:rPr>
                <w:rFonts w:ascii="楷体_GB2312" w:eastAsia="楷体_GB2312" w:hAnsi="楷体_GB2312" w:cs="楷体_GB2312"/>
                <w:b/>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jc w:val="center"/>
              <w:rPr>
                <w:rFonts w:ascii="楷体_GB2312" w:eastAsia="楷体_GB2312" w:hAnsi="楷体_GB2312" w:cs="楷体_GB2312"/>
                <w:b/>
                <w:sz w:val="24"/>
                <w:szCs w:val="24"/>
              </w:rPr>
            </w:pPr>
          </w:p>
        </w:tc>
        <w:tc>
          <w:tcPr>
            <w:tcW w:w="90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jc w:val="center"/>
              <w:rPr>
                <w:rFonts w:ascii="楷体_GB2312" w:eastAsia="楷体_GB2312" w:hAnsi="楷体_GB2312" w:cs="楷体_GB2312"/>
                <w:b/>
                <w:sz w:val="24"/>
                <w:szCs w:val="24"/>
              </w:rPr>
            </w:pPr>
          </w:p>
        </w:tc>
        <w:tc>
          <w:tcPr>
            <w:tcW w:w="94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jc w:val="center"/>
              <w:rPr>
                <w:rFonts w:ascii="楷体_GB2312" w:eastAsia="楷体_GB2312" w:hAnsi="楷体_GB2312" w:cs="楷体_GB2312"/>
                <w:b/>
                <w:sz w:val="24"/>
                <w:szCs w:val="24"/>
              </w:rPr>
            </w:pPr>
          </w:p>
        </w:tc>
        <w:tc>
          <w:tcPr>
            <w:tcW w:w="54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jc w:val="center"/>
              <w:rPr>
                <w:rFonts w:ascii="楷体_GB2312" w:eastAsia="楷体_GB2312" w:hAnsi="楷体_GB2312" w:cs="楷体_GB2312"/>
                <w:b/>
                <w:sz w:val="24"/>
                <w:szCs w:val="24"/>
              </w:rPr>
            </w:pPr>
          </w:p>
        </w:tc>
        <w:tc>
          <w:tcPr>
            <w:tcW w:w="232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jc w:val="center"/>
              <w:rPr>
                <w:rFonts w:ascii="楷体_GB2312" w:eastAsia="楷体_GB2312" w:hAnsi="楷体_GB2312" w:cs="楷体_GB2312"/>
                <w:b/>
                <w:sz w:val="24"/>
                <w:szCs w:val="24"/>
              </w:rPr>
            </w:pPr>
          </w:p>
        </w:tc>
        <w:tc>
          <w:tcPr>
            <w:tcW w:w="8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jc w:val="center"/>
              <w:rPr>
                <w:rFonts w:ascii="楷体_GB2312" w:eastAsia="楷体_GB2312" w:hAnsi="楷体_GB2312" w:cs="楷体_GB2312"/>
                <w:b/>
                <w:sz w:val="24"/>
                <w:szCs w:val="24"/>
              </w:rPr>
            </w:pPr>
          </w:p>
        </w:tc>
        <w:tc>
          <w:tcPr>
            <w:tcW w:w="99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jc w:val="center"/>
              <w:rPr>
                <w:rFonts w:ascii="楷体_GB2312" w:eastAsia="楷体_GB2312" w:hAnsi="楷体_GB2312" w:cs="楷体_GB2312"/>
                <w:b/>
                <w:sz w:val="24"/>
                <w:szCs w:val="24"/>
              </w:rPr>
            </w:pPr>
          </w:p>
        </w:tc>
      </w:tr>
      <w:tr w:rsidR="00000000">
        <w:trPr>
          <w:trHeight w:val="51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汉语言文学（高级文秘）</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39</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19</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机械工程及自动化</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63</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95.24%</w:t>
            </w:r>
          </w:p>
        </w:tc>
      </w:tr>
      <w:tr w:rsidR="00000000">
        <w:trPr>
          <w:trHeight w:val="75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汉语言文学（新闻传媒与文化创意）</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37</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20</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土木工程</w:t>
            </w:r>
            <w:r>
              <w:rPr>
                <w:rFonts w:ascii="楷体_GB2312" w:eastAsia="楷体_GB2312" w:hAnsi="楷体_GB2312" w:cs="楷体_GB2312" w:hint="eastAsia"/>
                <w:kern w:val="0"/>
                <w:sz w:val="22"/>
              </w:rPr>
              <w:t xml:space="preserve"> </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65</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30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3</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英语</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22</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21</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化学工程与工艺</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37</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30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4</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英语（商务英语）</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43</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22</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轻化工程（染整工程）</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37</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30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5</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日语</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22</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23</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纺织工程（纺织品检验与贸易）</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60</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98.33%</w:t>
            </w:r>
          </w:p>
        </w:tc>
      </w:tr>
      <w:tr w:rsidR="00000000">
        <w:trPr>
          <w:trHeight w:val="675"/>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6</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日语（商务日语）</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45</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24</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服装设计与工程</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45</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675"/>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7</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艺术设计</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81</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25</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服装设计与工程（服装艺术设计）</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42</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81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8</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动画</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24</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26</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工程管理</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56</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66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国际经济与贸易</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52</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27</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临床医学</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357</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93.56%</w:t>
            </w:r>
          </w:p>
        </w:tc>
      </w:tr>
      <w:tr w:rsidR="00000000">
        <w:trPr>
          <w:trHeight w:val="675"/>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市场营销</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52</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28</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医学检验</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43</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93.02%</w:t>
            </w:r>
          </w:p>
        </w:tc>
      </w:tr>
      <w:tr w:rsidR="00000000">
        <w:trPr>
          <w:trHeight w:val="60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11</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市场营销（物流管理）</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79</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29</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护理学</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139</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94.96%</w:t>
            </w:r>
          </w:p>
        </w:tc>
      </w:tr>
      <w:tr w:rsidR="00000000">
        <w:trPr>
          <w:trHeight w:val="30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12</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会计学</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104</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30</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医学影像学</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35</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97.14%</w:t>
            </w:r>
          </w:p>
        </w:tc>
      </w:tr>
      <w:tr w:rsidR="00000000">
        <w:trPr>
          <w:trHeight w:val="30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13</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行政管理</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51</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31</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资源环境与城乡规划管理</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25</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30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14</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自动化</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51</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32</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应用心理学</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29</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645"/>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15</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电子信息工程</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40</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95%</w:t>
            </w:r>
          </w:p>
        </w:tc>
        <w:tc>
          <w:tcPr>
            <w:tcW w:w="5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33</w:t>
            </w:r>
          </w:p>
        </w:tc>
        <w:tc>
          <w:tcPr>
            <w:tcW w:w="232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统计学（金融统计）</w:t>
            </w:r>
          </w:p>
        </w:tc>
        <w:tc>
          <w:tcPr>
            <w:tcW w:w="8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61</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gridAfter w:val="4"/>
          <w:wAfter w:w="4739" w:type="dxa"/>
          <w:trHeight w:val="645"/>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16</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电子信息工程（光伏与微电子技术）</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54</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98.15%</w:t>
            </w:r>
          </w:p>
        </w:tc>
      </w:tr>
      <w:tr w:rsidR="00000000">
        <w:trPr>
          <w:gridAfter w:val="4"/>
          <w:wAfter w:w="4739" w:type="dxa"/>
          <w:trHeight w:val="300"/>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17</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计算机科学与技术</w:t>
            </w:r>
            <w:r>
              <w:rPr>
                <w:rFonts w:ascii="楷体_GB2312" w:eastAsia="楷体_GB2312" w:hAnsi="楷体_GB2312" w:cs="楷体_GB2312" w:hint="eastAsia"/>
                <w:kern w:val="0"/>
                <w:sz w:val="22"/>
              </w:rPr>
              <w:t xml:space="preserve">    </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54</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r>
      <w:tr w:rsidR="00000000">
        <w:trPr>
          <w:trHeight w:val="675"/>
          <w:jc w:val="center"/>
        </w:trPr>
        <w:tc>
          <w:tcPr>
            <w:tcW w:w="46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18</w:t>
            </w:r>
          </w:p>
        </w:tc>
        <w:tc>
          <w:tcPr>
            <w:tcW w:w="22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left"/>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集成电路设计与集成系统</w:t>
            </w:r>
          </w:p>
        </w:tc>
        <w:tc>
          <w:tcPr>
            <w:tcW w:w="9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hint="eastAsia"/>
                <w:sz w:val="22"/>
              </w:rPr>
            </w:pPr>
            <w:r>
              <w:rPr>
                <w:rFonts w:ascii="楷体_GB2312" w:eastAsia="楷体_GB2312" w:hAnsi="楷体_GB2312" w:cs="楷体_GB2312" w:hint="eastAsia"/>
                <w:kern w:val="0"/>
                <w:sz w:val="22"/>
              </w:rPr>
              <w:t>31</w:t>
            </w:r>
          </w:p>
        </w:tc>
        <w:tc>
          <w:tcPr>
            <w:tcW w:w="94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2"/>
              </w:rPr>
            </w:pPr>
            <w:r>
              <w:rPr>
                <w:rFonts w:ascii="楷体_GB2312" w:eastAsia="楷体_GB2312" w:hAnsi="楷体_GB2312" w:cs="楷体_GB2312" w:hint="eastAsia"/>
                <w:kern w:val="0"/>
                <w:sz w:val="22"/>
              </w:rPr>
              <w:t>100%</w:t>
            </w:r>
          </w:p>
        </w:tc>
        <w:tc>
          <w:tcPr>
            <w:tcW w:w="540" w:type="dxa"/>
            <w:tcBorders>
              <w:top w:val="nil"/>
              <w:left w:val="nil"/>
              <w:bottom w:val="nil"/>
              <w:right w:val="nil"/>
            </w:tcBorders>
            <w:tcMar>
              <w:top w:w="15" w:type="dxa"/>
              <w:left w:w="15" w:type="dxa"/>
              <w:right w:w="15" w:type="dxa"/>
            </w:tcMar>
            <w:vAlign w:val="center"/>
          </w:tcPr>
          <w:p w:rsidR="00000000" w:rsidRDefault="00250BDB">
            <w:pPr>
              <w:rPr>
                <w:rFonts w:ascii="楷体_GB2312" w:eastAsia="楷体_GB2312" w:hAnsi="楷体_GB2312" w:cs="楷体_GB2312"/>
                <w:sz w:val="22"/>
              </w:rPr>
            </w:pPr>
          </w:p>
        </w:tc>
        <w:tc>
          <w:tcPr>
            <w:tcW w:w="2320" w:type="dxa"/>
            <w:tcBorders>
              <w:top w:val="nil"/>
              <w:left w:val="nil"/>
              <w:bottom w:val="nil"/>
              <w:right w:val="nil"/>
            </w:tcBorders>
            <w:tcMar>
              <w:top w:w="15" w:type="dxa"/>
              <w:left w:w="15" w:type="dxa"/>
              <w:right w:w="15" w:type="dxa"/>
            </w:tcMar>
            <w:vAlign w:val="center"/>
          </w:tcPr>
          <w:p w:rsidR="00000000" w:rsidRDefault="00250BDB">
            <w:pPr>
              <w:rPr>
                <w:rFonts w:ascii="楷体_GB2312" w:eastAsia="楷体_GB2312" w:hAnsi="楷体_GB2312" w:cs="楷体_GB2312"/>
                <w:sz w:val="22"/>
              </w:rPr>
            </w:pPr>
          </w:p>
        </w:tc>
        <w:tc>
          <w:tcPr>
            <w:tcW w:w="880" w:type="dxa"/>
            <w:tcBorders>
              <w:top w:val="nil"/>
              <w:left w:val="nil"/>
              <w:bottom w:val="nil"/>
              <w:right w:val="nil"/>
            </w:tcBorders>
            <w:tcMar>
              <w:top w:w="15" w:type="dxa"/>
              <w:left w:w="15" w:type="dxa"/>
              <w:right w:w="15" w:type="dxa"/>
            </w:tcMar>
            <w:vAlign w:val="center"/>
          </w:tcPr>
          <w:p w:rsidR="00000000" w:rsidRDefault="00250BDB">
            <w:pPr>
              <w:rPr>
                <w:rFonts w:ascii="楷体_GB2312" w:eastAsia="楷体_GB2312" w:hAnsi="楷体_GB2312" w:cs="楷体_GB2312"/>
                <w:sz w:val="22"/>
              </w:rPr>
            </w:pPr>
          </w:p>
        </w:tc>
        <w:tc>
          <w:tcPr>
            <w:tcW w:w="999" w:type="dxa"/>
            <w:tcBorders>
              <w:top w:val="nil"/>
              <w:left w:val="nil"/>
              <w:bottom w:val="nil"/>
              <w:right w:val="nil"/>
            </w:tcBorders>
            <w:tcMar>
              <w:top w:w="15" w:type="dxa"/>
              <w:left w:w="15" w:type="dxa"/>
              <w:right w:w="15" w:type="dxa"/>
            </w:tcMar>
            <w:vAlign w:val="center"/>
          </w:tcPr>
          <w:p w:rsidR="00000000" w:rsidRDefault="00250BDB">
            <w:pPr>
              <w:rPr>
                <w:rFonts w:ascii="楷体_GB2312" w:eastAsia="楷体_GB2312" w:hAnsi="楷体_GB2312" w:cs="楷体_GB2312"/>
                <w:sz w:val="22"/>
              </w:rPr>
            </w:pPr>
          </w:p>
        </w:tc>
      </w:tr>
    </w:tbl>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32"/>
          <w:szCs w:val="32"/>
        </w:rPr>
        <w:t>(</w:t>
      </w:r>
      <w:r>
        <w:rPr>
          <w:rFonts w:ascii="楷体_GB2312" w:eastAsia="楷体_GB2312" w:hAnsi="楷体_GB2312" w:cs="楷体_GB2312" w:hint="eastAsia"/>
          <w:b/>
          <w:sz w:val="32"/>
          <w:szCs w:val="32"/>
        </w:rPr>
        <w:t>三）</w:t>
      </w:r>
      <w:r>
        <w:rPr>
          <w:rFonts w:ascii="楷体_GB2312" w:eastAsia="楷体_GB2312" w:hAnsi="楷体_GB2312" w:cs="楷体_GB2312" w:hint="eastAsia"/>
          <w:b/>
          <w:sz w:val="28"/>
          <w:szCs w:val="28"/>
        </w:rPr>
        <w:t>不同性别毕业生就业率统计分析</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届毕业生中，女生就业率为</w:t>
      </w:r>
      <w:r>
        <w:rPr>
          <w:rFonts w:ascii="楷体_GB2312" w:eastAsia="楷体_GB2312" w:hAnsi="楷体_GB2312" w:cs="楷体_GB2312" w:hint="eastAsia"/>
          <w:sz w:val="28"/>
          <w:szCs w:val="28"/>
        </w:rPr>
        <w:t>98.92%</w:t>
      </w:r>
      <w:r>
        <w:rPr>
          <w:rFonts w:ascii="楷体_GB2312" w:eastAsia="楷体_GB2312" w:hAnsi="楷体_GB2312" w:cs="楷体_GB2312" w:hint="eastAsia"/>
          <w:sz w:val="28"/>
          <w:szCs w:val="28"/>
        </w:rPr>
        <w:t>，男生就业率</w:t>
      </w:r>
      <w:r>
        <w:rPr>
          <w:rFonts w:ascii="楷体_GB2312" w:eastAsia="楷体_GB2312" w:hAnsi="楷体_GB2312" w:cs="楷体_GB2312" w:hint="eastAsia"/>
          <w:sz w:val="28"/>
          <w:szCs w:val="28"/>
        </w:rPr>
        <w:t>96.37%</w:t>
      </w:r>
      <w:r>
        <w:rPr>
          <w:rFonts w:ascii="楷体_GB2312" w:eastAsia="楷体_GB2312" w:hAnsi="楷体_GB2312" w:cs="楷体_GB2312" w:hint="eastAsia"/>
          <w:sz w:val="28"/>
          <w:szCs w:val="28"/>
        </w:rPr>
        <w:t>，女生较男生高</w:t>
      </w:r>
      <w:r>
        <w:rPr>
          <w:rFonts w:ascii="楷体_GB2312" w:eastAsia="楷体_GB2312" w:hAnsi="楷体_GB2312" w:cs="楷体_GB2312" w:hint="eastAsia"/>
          <w:sz w:val="28"/>
          <w:szCs w:val="28"/>
        </w:rPr>
        <w:t>2.5</w:t>
      </w:r>
      <w:r>
        <w:rPr>
          <w:rFonts w:ascii="楷体_GB2312" w:eastAsia="楷体_GB2312" w:hAnsi="楷体_GB2312" w:cs="楷体_GB2312" w:hint="eastAsia"/>
          <w:sz w:val="28"/>
          <w:szCs w:val="28"/>
        </w:rPr>
        <w:t>个百分点。从各学部就业率统计情况看（见</w:t>
      </w:r>
      <w:r>
        <w:rPr>
          <w:rFonts w:ascii="楷体_GB2312" w:eastAsia="楷体_GB2312" w:hAnsi="楷体_GB2312" w:cs="楷体_GB2312" w:hint="eastAsia"/>
          <w:b/>
          <w:bCs/>
          <w:sz w:val="28"/>
          <w:szCs w:val="28"/>
        </w:rPr>
        <w:lastRenderedPageBreak/>
        <w:t>图</w:t>
      </w:r>
      <w:r>
        <w:rPr>
          <w:rFonts w:ascii="楷体_GB2312" w:eastAsia="楷体_GB2312" w:hAnsi="楷体_GB2312" w:cs="楷体_GB2312" w:hint="eastAsia"/>
          <w:b/>
          <w:bCs/>
          <w:sz w:val="28"/>
          <w:szCs w:val="28"/>
        </w:rPr>
        <w:t>1-5</w:t>
      </w:r>
      <w:r>
        <w:rPr>
          <w:rFonts w:ascii="楷体_GB2312" w:eastAsia="楷体_GB2312" w:hAnsi="楷体_GB2312" w:cs="楷体_GB2312" w:hint="eastAsia"/>
          <w:sz w:val="28"/>
          <w:szCs w:val="28"/>
        </w:rPr>
        <w:t>），人文学部、理学部、经济管理学部男女生就业率均为</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，信息科学部、工程学部、医学部的女生就业率高于男生。</w:t>
      </w:r>
    </w:p>
    <w:p w:rsidR="00000000" w:rsidRDefault="00F86454">
      <w:pPr>
        <w:spacing w:line="480" w:lineRule="auto"/>
        <w:ind w:firstLineChars="200" w:firstLine="420"/>
        <w:jc w:val="left"/>
        <w:rPr>
          <w:rFonts w:ascii="楷体_GB2312" w:eastAsia="楷体_GB2312" w:hAnsi="楷体_GB2312" w:cs="楷体_GB2312"/>
          <w:sz w:val="28"/>
          <w:szCs w:val="28"/>
        </w:rPr>
      </w:pPr>
      <w:r>
        <w:rPr>
          <w:noProof/>
        </w:rPr>
        <w:drawing>
          <wp:inline distT="0" distB="0" distL="0" distR="0">
            <wp:extent cx="4572000" cy="2743200"/>
            <wp:effectExtent l="4445" t="4445" r="1460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250BDB">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图</w:t>
      </w:r>
      <w:r>
        <w:rPr>
          <w:rFonts w:ascii="楷体_GB2312" w:eastAsia="楷体_GB2312" w:hAnsi="楷体_GB2312" w:cs="楷体_GB2312" w:hint="eastAsia"/>
          <w:b/>
          <w:sz w:val="28"/>
          <w:szCs w:val="28"/>
        </w:rPr>
        <w:t>1-5  20</w:t>
      </w:r>
      <w:r>
        <w:rPr>
          <w:rFonts w:ascii="楷体_GB2312" w:eastAsia="楷体_GB2312" w:hAnsi="楷体_GB2312" w:cs="楷体_GB2312" w:hint="eastAsia"/>
          <w:b/>
          <w:sz w:val="28"/>
          <w:szCs w:val="28"/>
        </w:rPr>
        <w:t>15</w:t>
      </w:r>
      <w:r>
        <w:rPr>
          <w:rFonts w:ascii="楷体_GB2312" w:eastAsia="楷体_GB2312" w:hAnsi="楷体_GB2312" w:cs="楷体_GB2312" w:hint="eastAsia"/>
          <w:b/>
          <w:sz w:val="28"/>
          <w:szCs w:val="28"/>
        </w:rPr>
        <w:t>届毕业生各学部不同性别就业情况</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（四）不同生源地区毕业生就业率统计分析</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届毕业生中，江苏生源毕业生年终就业率为</w:t>
      </w:r>
      <w:r>
        <w:rPr>
          <w:rFonts w:ascii="楷体_GB2312" w:eastAsia="楷体_GB2312" w:hAnsi="楷体_GB2312" w:cs="楷体_GB2312" w:hint="eastAsia"/>
          <w:sz w:val="28"/>
          <w:szCs w:val="28"/>
        </w:rPr>
        <w:t>97.87%</w:t>
      </w:r>
      <w:r>
        <w:rPr>
          <w:rFonts w:ascii="楷体_GB2312" w:eastAsia="楷体_GB2312" w:hAnsi="楷体_GB2312" w:cs="楷体_GB2312" w:hint="eastAsia"/>
          <w:sz w:val="28"/>
          <w:szCs w:val="28"/>
        </w:rPr>
        <w:t>，其他省市生源毕业生就业率为</w:t>
      </w:r>
      <w:r>
        <w:rPr>
          <w:rFonts w:ascii="楷体_GB2312" w:eastAsia="楷体_GB2312" w:hAnsi="楷体_GB2312" w:cs="楷体_GB2312" w:hint="eastAsia"/>
          <w:sz w:val="28"/>
          <w:szCs w:val="28"/>
        </w:rPr>
        <w:t>98.41%</w:t>
      </w:r>
      <w:r>
        <w:rPr>
          <w:rFonts w:ascii="楷体_GB2312" w:eastAsia="楷体_GB2312" w:hAnsi="楷体_GB2312" w:cs="楷体_GB2312" w:hint="eastAsia"/>
          <w:sz w:val="28"/>
          <w:szCs w:val="28"/>
        </w:rPr>
        <w:t>。其中，广东、山东、上海生源毕业生就业率均达</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1-5</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tbl>
      <w:tblPr>
        <w:tblW w:w="0" w:type="auto"/>
        <w:jc w:val="center"/>
        <w:tblInd w:w="0" w:type="dxa"/>
        <w:tblLayout w:type="fixed"/>
        <w:tblCellMar>
          <w:left w:w="0" w:type="dxa"/>
          <w:right w:w="0" w:type="dxa"/>
        </w:tblCellMar>
        <w:tblLook w:val="0000"/>
      </w:tblPr>
      <w:tblGrid>
        <w:gridCol w:w="1080"/>
        <w:gridCol w:w="1225"/>
        <w:gridCol w:w="1515"/>
        <w:gridCol w:w="1738"/>
      </w:tblGrid>
      <w:tr w:rsidR="00000000">
        <w:trPr>
          <w:trHeight w:val="300"/>
          <w:jc w:val="center"/>
        </w:trPr>
        <w:tc>
          <w:tcPr>
            <w:tcW w:w="5558" w:type="dxa"/>
            <w:gridSpan w:val="4"/>
            <w:tcBorders>
              <w:top w:val="nil"/>
              <w:left w:val="nil"/>
              <w:bottom w:val="single" w:sz="4" w:space="0" w:color="000000"/>
              <w:right w:val="nil"/>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8"/>
                <w:szCs w:val="28"/>
              </w:rPr>
            </w:pPr>
            <w:r>
              <w:rPr>
                <w:rFonts w:ascii="楷体_GB2312" w:eastAsia="楷体_GB2312" w:hAnsi="楷体_GB2312" w:cs="楷体_GB2312" w:hint="eastAsia"/>
                <w:b/>
                <w:kern w:val="0"/>
                <w:sz w:val="28"/>
                <w:szCs w:val="28"/>
              </w:rPr>
              <w:t>表</w:t>
            </w:r>
            <w:r>
              <w:rPr>
                <w:rFonts w:ascii="楷体_GB2312" w:eastAsia="楷体_GB2312" w:hAnsi="楷体_GB2312" w:cs="楷体_GB2312" w:hint="eastAsia"/>
                <w:b/>
                <w:kern w:val="0"/>
                <w:sz w:val="28"/>
                <w:szCs w:val="28"/>
              </w:rPr>
              <w:t xml:space="preserve">1-5  </w:t>
            </w:r>
            <w:r>
              <w:rPr>
                <w:rFonts w:ascii="楷体_GB2312" w:eastAsia="楷体_GB2312" w:hAnsi="楷体_GB2312" w:cs="楷体_GB2312" w:hint="eastAsia"/>
                <w:b/>
                <w:kern w:val="0"/>
                <w:sz w:val="28"/>
                <w:szCs w:val="28"/>
              </w:rPr>
              <w:t>各省市生源毕业生年终就业率统计表</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序号</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省份</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毕业生人数</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就业率</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w:t>
            </w:r>
          </w:p>
        </w:tc>
        <w:tc>
          <w:tcPr>
            <w:tcW w:w="1225"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江苏省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1786</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97.87%</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2</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安徽省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43</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97.68%</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3</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福建省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34</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97.06%</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4</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广东省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2</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100%</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5</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山东省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6</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100%</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6</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上海市</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34</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w:t>
            </w:r>
            <w:r>
              <w:rPr>
                <w:rFonts w:ascii="楷体_GB2312" w:eastAsia="楷体_GB2312" w:hAnsi="楷体_GB2312" w:cs="楷体_GB2312" w:hint="eastAsia"/>
                <w:kern w:val="0"/>
                <w:sz w:val="24"/>
                <w:szCs w:val="24"/>
              </w:rPr>
              <w:t>00%</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7</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浙江省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70</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98.58%</w:t>
            </w:r>
          </w:p>
        </w:tc>
      </w:tr>
    </w:tbl>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江苏省各市生源毕业生的年终就业率均在</w:t>
      </w:r>
      <w:r>
        <w:rPr>
          <w:rFonts w:ascii="楷体_GB2312" w:eastAsia="楷体_GB2312" w:hAnsi="楷体_GB2312" w:cs="楷体_GB2312" w:hint="eastAsia"/>
          <w:sz w:val="28"/>
          <w:szCs w:val="28"/>
        </w:rPr>
        <w:t>90%</w:t>
      </w:r>
      <w:r>
        <w:rPr>
          <w:rFonts w:ascii="楷体_GB2312" w:eastAsia="楷体_GB2312" w:hAnsi="楷体_GB2312" w:cs="楷体_GB2312" w:hint="eastAsia"/>
          <w:sz w:val="28"/>
          <w:szCs w:val="28"/>
        </w:rPr>
        <w:t>以上，其中常州市、淮安市、连云港市、无锡市、扬州市生源毕业生就业率均达</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1-6</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tbl>
      <w:tblPr>
        <w:tblW w:w="0" w:type="auto"/>
        <w:jc w:val="center"/>
        <w:tblInd w:w="0" w:type="dxa"/>
        <w:tblLayout w:type="fixed"/>
        <w:tblCellMar>
          <w:left w:w="0" w:type="dxa"/>
          <w:right w:w="0" w:type="dxa"/>
        </w:tblCellMar>
        <w:tblLook w:val="0000"/>
      </w:tblPr>
      <w:tblGrid>
        <w:gridCol w:w="1080"/>
        <w:gridCol w:w="1080"/>
        <w:gridCol w:w="1800"/>
        <w:gridCol w:w="1080"/>
      </w:tblGrid>
      <w:tr w:rsidR="00000000">
        <w:trPr>
          <w:trHeight w:val="375"/>
          <w:jc w:val="center"/>
        </w:trPr>
        <w:tc>
          <w:tcPr>
            <w:tcW w:w="5040" w:type="dxa"/>
            <w:gridSpan w:val="4"/>
            <w:tcBorders>
              <w:top w:val="nil"/>
              <w:left w:val="nil"/>
              <w:bottom w:val="single" w:sz="4" w:space="0" w:color="000000"/>
              <w:right w:val="nil"/>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b/>
                <w:sz w:val="28"/>
                <w:szCs w:val="28"/>
              </w:rPr>
            </w:pPr>
            <w:r>
              <w:rPr>
                <w:rFonts w:ascii="楷体_GB2312" w:eastAsia="楷体_GB2312" w:hAnsi="楷体_GB2312" w:cs="楷体_GB2312" w:hint="eastAsia"/>
                <w:b/>
                <w:kern w:val="0"/>
                <w:sz w:val="28"/>
                <w:szCs w:val="28"/>
              </w:rPr>
              <w:lastRenderedPageBreak/>
              <w:t>表</w:t>
            </w:r>
            <w:r>
              <w:rPr>
                <w:rFonts w:ascii="楷体_GB2312" w:eastAsia="楷体_GB2312" w:hAnsi="楷体_GB2312" w:cs="楷体_GB2312" w:hint="eastAsia"/>
                <w:b/>
                <w:kern w:val="0"/>
                <w:sz w:val="28"/>
                <w:szCs w:val="28"/>
              </w:rPr>
              <w:t xml:space="preserve">1-6  </w:t>
            </w:r>
            <w:r>
              <w:rPr>
                <w:rFonts w:ascii="楷体_GB2312" w:eastAsia="楷体_GB2312" w:hAnsi="楷体_GB2312" w:cs="楷体_GB2312" w:hint="eastAsia"/>
                <w:b/>
                <w:kern w:val="0"/>
                <w:sz w:val="28"/>
                <w:szCs w:val="28"/>
              </w:rPr>
              <w:t>江苏省各市毕业生就业率统计</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序号</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辖市</w:t>
            </w:r>
          </w:p>
        </w:tc>
        <w:tc>
          <w:tcPr>
            <w:tcW w:w="180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本科生人数</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就业率</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常州市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59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2</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淮安市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53</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3</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连云港</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44</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4</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南京市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36</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91.67%</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5</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南通市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624</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99.04%</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6</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苏州市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292</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94.87%</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7</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宿迁市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99.09%</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8</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泰州市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105</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w:t>
            </w:r>
            <w:r>
              <w:rPr>
                <w:rFonts w:ascii="宋体" w:hAnsi="宋体" w:cs="宋体" w:hint="eastAsia"/>
                <w:kern w:val="0"/>
                <w:sz w:val="24"/>
                <w:szCs w:val="24"/>
                <w:lang/>
              </w:rPr>
              <w:t>7.15%</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无锡市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102</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徐州市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62</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93.48%</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11</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盐城市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147</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97.96%</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12</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扬州市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106</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13</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250BDB">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镇江市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47</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250BDB">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97.88%</w:t>
            </w:r>
          </w:p>
        </w:tc>
      </w:tr>
    </w:tbl>
    <w:p w:rsidR="00000000" w:rsidRDefault="00250BDB">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四、毕业流向</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32"/>
          <w:szCs w:val="32"/>
        </w:rPr>
        <w:t>（一）</w:t>
      </w:r>
      <w:r>
        <w:rPr>
          <w:rFonts w:ascii="楷体_GB2312" w:eastAsia="楷体_GB2312" w:hAnsi="楷体_GB2312" w:cs="楷体_GB2312" w:hint="eastAsia"/>
          <w:b/>
          <w:sz w:val="28"/>
          <w:szCs w:val="28"/>
        </w:rPr>
        <w:t>毕业生总体流向</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截至</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25</w:t>
      </w:r>
      <w:r>
        <w:rPr>
          <w:rFonts w:ascii="楷体_GB2312" w:eastAsia="楷体_GB2312" w:hAnsi="楷体_GB2312" w:cs="楷体_GB2312" w:hint="eastAsia"/>
          <w:sz w:val="28"/>
          <w:szCs w:val="28"/>
        </w:rPr>
        <w:t>日，全院</w:t>
      </w:r>
      <w:r>
        <w:rPr>
          <w:rFonts w:ascii="楷体_GB2312" w:eastAsia="楷体_GB2312" w:hAnsi="楷体_GB2312" w:cs="楷体_GB2312" w:hint="eastAsia"/>
          <w:sz w:val="28"/>
          <w:szCs w:val="28"/>
        </w:rPr>
        <w:t>1975</w:t>
      </w:r>
      <w:r>
        <w:rPr>
          <w:rFonts w:ascii="楷体_GB2312" w:eastAsia="楷体_GB2312" w:hAnsi="楷体_GB2312" w:cs="楷体_GB2312" w:hint="eastAsia"/>
          <w:sz w:val="28"/>
          <w:szCs w:val="28"/>
        </w:rPr>
        <w:t>名毕业生中，单位就业率为</w:t>
      </w:r>
      <w:r>
        <w:rPr>
          <w:rFonts w:ascii="楷体_GB2312" w:eastAsia="楷体_GB2312" w:hAnsi="楷体_GB2312" w:cs="楷体_GB2312" w:hint="eastAsia"/>
          <w:sz w:val="28"/>
          <w:szCs w:val="28"/>
        </w:rPr>
        <w:t>91.54%</w:t>
      </w:r>
      <w:r>
        <w:rPr>
          <w:rFonts w:ascii="楷体_GB2312" w:eastAsia="楷体_GB2312" w:hAnsi="楷体_GB2312" w:cs="楷体_GB2312" w:hint="eastAsia"/>
          <w:sz w:val="28"/>
          <w:szCs w:val="28"/>
        </w:rPr>
        <w:t>，升学出国率为</w:t>
      </w:r>
      <w:r>
        <w:rPr>
          <w:rFonts w:ascii="楷体_GB2312" w:eastAsia="楷体_GB2312" w:hAnsi="楷体_GB2312" w:cs="楷体_GB2312" w:hint="eastAsia"/>
          <w:sz w:val="28"/>
          <w:szCs w:val="28"/>
        </w:rPr>
        <w:t>3.80%</w:t>
      </w:r>
      <w:r>
        <w:rPr>
          <w:rFonts w:ascii="楷体_GB2312" w:eastAsia="楷体_GB2312" w:hAnsi="楷体_GB2312" w:cs="楷体_GB2312" w:hint="eastAsia"/>
          <w:sz w:val="28"/>
          <w:szCs w:val="28"/>
        </w:rPr>
        <w:t>，灵活就业率为</w:t>
      </w:r>
      <w:r>
        <w:rPr>
          <w:rFonts w:ascii="楷体_GB2312" w:eastAsia="楷体_GB2312" w:hAnsi="楷体_GB2312" w:cs="楷体_GB2312" w:hint="eastAsia"/>
          <w:sz w:val="28"/>
          <w:szCs w:val="28"/>
        </w:rPr>
        <w:t>2.58%</w:t>
      </w:r>
      <w:r>
        <w:rPr>
          <w:rFonts w:ascii="楷体_GB2312" w:eastAsia="楷体_GB2312" w:hAnsi="楷体_GB2312" w:cs="楷体_GB2312" w:hint="eastAsia"/>
          <w:sz w:val="28"/>
          <w:szCs w:val="28"/>
        </w:rPr>
        <w:t>，未就业率为</w:t>
      </w:r>
      <w:r>
        <w:rPr>
          <w:rFonts w:ascii="楷体_GB2312" w:eastAsia="楷体_GB2312" w:hAnsi="楷体_GB2312" w:cs="楷体_GB2312" w:hint="eastAsia"/>
          <w:sz w:val="28"/>
          <w:szCs w:val="28"/>
        </w:rPr>
        <w:t>2.08%</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1-6</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3506470" cy="2105660"/>
            <wp:effectExtent l="5080" t="5080" r="12700" b="22860"/>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000" w:rsidRDefault="00250BDB">
      <w:pPr>
        <w:spacing w:line="480" w:lineRule="auto"/>
        <w:ind w:firstLineChars="200" w:firstLine="562"/>
        <w:jc w:val="center"/>
        <w:rPr>
          <w:rFonts w:ascii="楷体_GB2312" w:eastAsia="楷体_GB2312" w:hAnsi="楷体_GB2312" w:cs="楷体_GB2312"/>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1-6  2015</w:t>
      </w:r>
      <w:r>
        <w:rPr>
          <w:rFonts w:ascii="楷体_GB2312" w:eastAsia="楷体_GB2312" w:hAnsi="楷体_GB2312" w:cs="楷体_GB2312" w:hint="eastAsia"/>
          <w:b/>
          <w:bCs/>
          <w:sz w:val="28"/>
          <w:szCs w:val="28"/>
        </w:rPr>
        <w:t>届毕业生总体流向</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1</w:t>
      </w:r>
      <w:r>
        <w:rPr>
          <w:rFonts w:ascii="楷体_GB2312" w:eastAsia="楷体_GB2312" w:hAnsi="楷体_GB2312" w:cs="楷体_GB2312" w:hint="eastAsia"/>
          <w:b/>
          <w:sz w:val="28"/>
          <w:szCs w:val="28"/>
        </w:rPr>
        <w:t>、单位就业情况</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届毕业生中，单位就业有</w:t>
      </w:r>
      <w:r>
        <w:rPr>
          <w:rFonts w:ascii="楷体_GB2312" w:eastAsia="楷体_GB2312" w:hAnsi="楷体_GB2312" w:cs="楷体_GB2312" w:hint="eastAsia"/>
          <w:sz w:val="28"/>
          <w:szCs w:val="28"/>
        </w:rPr>
        <w:t>1808</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91.54%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lastRenderedPageBreak/>
        <w:t>各学部</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届毕业生单位就业情况</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1-7</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F86454">
      <w:pPr>
        <w:spacing w:line="480" w:lineRule="auto"/>
        <w:ind w:firstLineChars="200" w:firstLine="420"/>
        <w:rPr>
          <w:rFonts w:ascii="楷体_GB2312" w:eastAsia="楷体_GB2312" w:hAnsi="楷体_GB2312" w:cs="楷体_GB2312"/>
        </w:rPr>
      </w:pPr>
      <w:r>
        <w:rPr>
          <w:noProof/>
        </w:rPr>
        <w:drawing>
          <wp:inline distT="0" distB="0" distL="0" distR="0">
            <wp:extent cx="4572000" cy="2743200"/>
            <wp:effectExtent l="4445" t="4445" r="14605" b="14605"/>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000" w:rsidRDefault="00250BDB">
      <w:pPr>
        <w:spacing w:line="480" w:lineRule="auto"/>
        <w:ind w:firstLineChars="200" w:firstLine="562"/>
        <w:jc w:val="center"/>
        <w:rPr>
          <w:rFonts w:ascii="楷体_GB2312" w:eastAsia="楷体_GB2312" w:hAnsi="楷体_GB2312" w:cs="楷体_GB2312" w:hint="eastAsia"/>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1-7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2015</w:t>
      </w:r>
      <w:r>
        <w:rPr>
          <w:rFonts w:ascii="楷体_GB2312" w:eastAsia="楷体_GB2312" w:hAnsi="楷体_GB2312" w:cs="楷体_GB2312" w:hint="eastAsia"/>
          <w:b/>
          <w:bCs/>
          <w:sz w:val="28"/>
          <w:szCs w:val="28"/>
        </w:rPr>
        <w:t>届毕业生单位就业率</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2</w:t>
      </w:r>
      <w:r>
        <w:rPr>
          <w:rFonts w:ascii="楷体_GB2312" w:eastAsia="楷体_GB2312" w:hAnsi="楷体_GB2312" w:cs="楷体_GB2312" w:hint="eastAsia"/>
          <w:b/>
          <w:sz w:val="28"/>
          <w:szCs w:val="28"/>
        </w:rPr>
        <w:t>、升学出国情况</w:t>
      </w:r>
    </w:p>
    <w:p w:rsidR="00000000" w:rsidRDefault="00250BDB">
      <w:pPr>
        <w:spacing w:line="480" w:lineRule="auto"/>
        <w:ind w:firstLineChars="200" w:firstLine="562"/>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1</w:t>
      </w:r>
      <w:r>
        <w:rPr>
          <w:rFonts w:ascii="楷体_GB2312" w:eastAsia="楷体_GB2312" w:hAnsi="楷体_GB2312" w:cs="楷体_GB2312" w:hint="eastAsia"/>
          <w:b/>
          <w:sz w:val="28"/>
          <w:szCs w:val="28"/>
        </w:rPr>
        <w:t>）各学部升学出国情况</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届毕业生中，毕业去向为考研升学或出国留学的有</w:t>
      </w:r>
      <w:r>
        <w:rPr>
          <w:rFonts w:ascii="楷体_GB2312" w:eastAsia="楷体_GB2312" w:hAnsi="楷体_GB2312" w:cs="楷体_GB2312" w:hint="eastAsia"/>
          <w:sz w:val="28"/>
          <w:szCs w:val="28"/>
        </w:rPr>
        <w:t>75</w:t>
      </w:r>
      <w:r>
        <w:rPr>
          <w:rFonts w:ascii="楷体_GB2312" w:eastAsia="楷体_GB2312" w:hAnsi="楷体_GB2312" w:cs="楷体_GB2312" w:hint="eastAsia"/>
          <w:sz w:val="28"/>
          <w:szCs w:val="28"/>
        </w:rPr>
        <w:t>人，升学出国率为</w:t>
      </w:r>
      <w:r>
        <w:rPr>
          <w:rFonts w:ascii="楷体_GB2312" w:eastAsia="楷体_GB2312" w:hAnsi="楷体_GB2312" w:cs="楷体_GB2312" w:hint="eastAsia"/>
          <w:sz w:val="28"/>
          <w:szCs w:val="28"/>
        </w:rPr>
        <w:t>3.80%</w:t>
      </w:r>
      <w:r>
        <w:rPr>
          <w:rFonts w:ascii="楷体_GB2312" w:eastAsia="楷体_GB2312" w:hAnsi="楷体_GB2312" w:cs="楷体_GB2312" w:hint="eastAsia"/>
          <w:sz w:val="28"/>
          <w:szCs w:val="28"/>
        </w:rPr>
        <w:t>。其中</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考研升学的有</w:t>
      </w:r>
      <w:r>
        <w:rPr>
          <w:rFonts w:ascii="楷体_GB2312" w:eastAsia="楷体_GB2312" w:hAnsi="楷体_GB2312" w:cs="楷体_GB2312" w:hint="eastAsia"/>
          <w:sz w:val="28"/>
          <w:szCs w:val="28"/>
        </w:rPr>
        <w:t>66</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占比为</w:t>
      </w:r>
      <w:r>
        <w:rPr>
          <w:rFonts w:ascii="楷体_GB2312" w:eastAsia="楷体_GB2312" w:hAnsi="楷体_GB2312" w:cs="楷体_GB2312" w:hint="eastAsia"/>
          <w:sz w:val="28"/>
          <w:szCs w:val="28"/>
        </w:rPr>
        <w:t>3.34%;</w:t>
      </w:r>
      <w:r>
        <w:rPr>
          <w:rFonts w:ascii="楷体_GB2312" w:eastAsia="楷体_GB2312" w:hAnsi="楷体_GB2312" w:cs="楷体_GB2312" w:hint="eastAsia"/>
          <w:sz w:val="28"/>
          <w:szCs w:val="28"/>
        </w:rPr>
        <w:t>出国留学的有</w:t>
      </w:r>
      <w:r>
        <w:rPr>
          <w:rFonts w:ascii="楷体_GB2312" w:eastAsia="楷体_GB2312" w:hAnsi="楷体_GB2312" w:cs="楷体_GB2312" w:hint="eastAsia"/>
          <w:sz w:val="28"/>
          <w:szCs w:val="28"/>
        </w:rPr>
        <w:t>9</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占比为</w:t>
      </w:r>
      <w:r>
        <w:rPr>
          <w:rFonts w:ascii="楷体_GB2312" w:eastAsia="楷体_GB2312" w:hAnsi="楷体_GB2312" w:cs="楷体_GB2312" w:hint="eastAsia"/>
          <w:sz w:val="28"/>
          <w:szCs w:val="28"/>
        </w:rPr>
        <w:t>0.46%</w:t>
      </w:r>
      <w:r>
        <w:rPr>
          <w:rFonts w:ascii="楷体_GB2312" w:eastAsia="楷体_GB2312" w:hAnsi="楷体_GB2312" w:cs="楷体_GB2312" w:hint="eastAsia"/>
          <w:sz w:val="28"/>
          <w:szCs w:val="28"/>
        </w:rPr>
        <w:t>。各学部升学出国情况见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1-8</w:t>
      </w:r>
      <w:r>
        <w:rPr>
          <w:rFonts w:ascii="楷体_GB2312" w:eastAsia="楷体_GB2312" w:hAnsi="楷体_GB2312" w:cs="楷体_GB2312" w:hint="eastAsia"/>
          <w:sz w:val="28"/>
          <w:szCs w:val="28"/>
        </w:rPr>
        <w:t>。</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317531"/>
            <wp:effectExtent l="4445" t="3755" r="14605" b="12339"/>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0000" w:rsidRDefault="00250BD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1-8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2015</w:t>
      </w:r>
      <w:r>
        <w:rPr>
          <w:rFonts w:ascii="楷体_GB2312" w:eastAsia="楷体_GB2312" w:hAnsi="楷体_GB2312" w:cs="楷体_GB2312" w:hint="eastAsia"/>
          <w:b/>
          <w:bCs/>
          <w:sz w:val="28"/>
          <w:szCs w:val="28"/>
        </w:rPr>
        <w:t>届毕业生升学出国率</w:t>
      </w:r>
    </w:p>
    <w:p w:rsidR="00000000" w:rsidRDefault="00250BDB">
      <w:pPr>
        <w:spacing w:line="480" w:lineRule="auto"/>
        <w:ind w:firstLineChars="196" w:firstLine="551"/>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2</w:t>
      </w:r>
      <w:r>
        <w:rPr>
          <w:rFonts w:ascii="楷体_GB2312" w:eastAsia="楷体_GB2312" w:hAnsi="楷体_GB2312" w:cs="楷体_GB2312" w:hint="eastAsia"/>
          <w:b/>
          <w:sz w:val="28"/>
          <w:szCs w:val="28"/>
        </w:rPr>
        <w:t>）升学出国专业与原专业的一致性</w:t>
      </w:r>
    </w:p>
    <w:p w:rsidR="00000000" w:rsidRDefault="00250BDB">
      <w:pPr>
        <w:spacing w:line="48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我院针对升学出国的</w:t>
      </w:r>
      <w:r>
        <w:rPr>
          <w:rFonts w:ascii="楷体_GB2312" w:eastAsia="楷体_GB2312" w:hAnsi="楷体_GB2312" w:cs="楷体_GB2312" w:hint="eastAsia"/>
          <w:sz w:val="28"/>
          <w:szCs w:val="28"/>
        </w:rPr>
        <w:t>75</w:t>
      </w:r>
      <w:r>
        <w:rPr>
          <w:rFonts w:ascii="楷体_GB2312" w:eastAsia="楷体_GB2312" w:hAnsi="楷体_GB2312" w:cs="楷体_GB2312" w:hint="eastAsia"/>
          <w:sz w:val="28"/>
          <w:szCs w:val="28"/>
        </w:rPr>
        <w:t>名学生进行调查</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选择升学出国的毕业生主要集中在临床医学专业，共</w:t>
      </w:r>
      <w:r>
        <w:rPr>
          <w:rFonts w:ascii="楷体_GB2312" w:eastAsia="楷体_GB2312" w:hAnsi="楷体_GB2312" w:cs="楷体_GB2312" w:hint="eastAsia"/>
          <w:sz w:val="28"/>
          <w:szCs w:val="28"/>
        </w:rPr>
        <w:t>28</w:t>
      </w:r>
      <w:r>
        <w:rPr>
          <w:rFonts w:ascii="楷体_GB2312" w:eastAsia="楷体_GB2312" w:hAnsi="楷体_GB2312" w:cs="楷体_GB2312" w:hint="eastAsia"/>
          <w:sz w:val="28"/>
          <w:szCs w:val="28"/>
        </w:rPr>
        <w:t>人，占升学出国总人数的</w:t>
      </w:r>
      <w:r>
        <w:rPr>
          <w:rFonts w:ascii="楷体_GB2312" w:eastAsia="楷体_GB2312" w:hAnsi="楷体_GB2312" w:cs="楷体_GB2312" w:hint="eastAsia"/>
          <w:sz w:val="28"/>
          <w:szCs w:val="28"/>
        </w:rPr>
        <w:t>37.33%</w:t>
      </w:r>
      <w:r>
        <w:rPr>
          <w:rFonts w:ascii="楷体_GB2312" w:eastAsia="楷体_GB2312" w:hAnsi="楷体_GB2312" w:cs="楷体_GB2312" w:hint="eastAsia"/>
          <w:sz w:val="28"/>
          <w:szCs w:val="28"/>
        </w:rPr>
        <w:t>。所学专业与原专业一致或相近、相关者，占比为</w:t>
      </w:r>
      <w:r>
        <w:rPr>
          <w:rFonts w:ascii="楷体_GB2312" w:eastAsia="楷体_GB2312" w:hAnsi="楷体_GB2312" w:cs="楷体_GB2312" w:hint="eastAsia"/>
          <w:sz w:val="28"/>
          <w:szCs w:val="28"/>
        </w:rPr>
        <w:t>86.2%</w:t>
      </w:r>
      <w:r>
        <w:rPr>
          <w:rFonts w:ascii="楷体_GB2312" w:eastAsia="楷体_GB2312" w:hAnsi="楷体_GB2312" w:cs="楷体_GB2312" w:hint="eastAsia"/>
          <w:sz w:val="28"/>
          <w:szCs w:val="28"/>
        </w:rPr>
        <w:t>，表明大部分毕业生是在本专业或相近、相关专业继续深造（见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1-9</w:t>
      </w:r>
      <w:r>
        <w:rPr>
          <w:rFonts w:ascii="楷体_GB2312" w:eastAsia="楷体_GB2312" w:hAnsi="楷体_GB2312" w:cs="楷体_GB2312" w:hint="eastAsia"/>
          <w:sz w:val="28"/>
          <w:szCs w:val="28"/>
        </w:rPr>
        <w:t>）。</w:t>
      </w:r>
    </w:p>
    <w:p w:rsidR="00000000" w:rsidRDefault="00250BDB">
      <w:pPr>
        <w:spacing w:line="480" w:lineRule="auto"/>
        <w:ind w:firstLineChars="200" w:firstLine="420"/>
        <w:jc w:val="center"/>
        <w:rPr>
          <w:rFonts w:ascii="楷体_GB2312" w:eastAsia="楷体_GB2312" w:hAnsi="楷体_GB2312" w:cs="楷体_GB2312"/>
          <w:sz w:val="28"/>
          <w:szCs w:val="28"/>
        </w:rPr>
      </w:pPr>
      <w:r>
        <w:object w:dxaOrig="723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1" o:spid="_x0000_i1025" type="#_x0000_t75" style="width:361.5pt;height:217.5pt;mso-wrap-style:square;mso-position-horizontal-relative:page;mso-position-vertical-relative:page" o:ole="" o:gfxdata="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">
            <v:imagedata r:id="rId28" o:title=""/>
          </v:shape>
          <o:OLEObject Type="Embed" ProgID="Excel.Sheet.8" ShapeID="图表 1" DrawAspect="Content" ObjectID="_1598980158" r:id="rId29">
            <o:FieldCodes>\* MERGEFORMAT</o:FieldCodes>
          </o:OLEObject>
        </w:object>
      </w:r>
    </w:p>
    <w:p w:rsidR="00000000" w:rsidRDefault="00250BD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 xml:space="preserve"> </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1-9  201</w:t>
      </w:r>
      <w:r>
        <w:rPr>
          <w:rFonts w:ascii="楷体_GB2312" w:eastAsia="楷体_GB2312" w:hAnsi="楷体_GB2312" w:cs="楷体_GB2312" w:hint="eastAsia"/>
          <w:b/>
          <w:bCs/>
          <w:sz w:val="28"/>
          <w:szCs w:val="28"/>
        </w:rPr>
        <w:t>5</w:t>
      </w:r>
      <w:r>
        <w:rPr>
          <w:rFonts w:ascii="楷体_GB2312" w:eastAsia="楷体_GB2312" w:hAnsi="楷体_GB2312" w:cs="楷体_GB2312" w:hint="eastAsia"/>
          <w:b/>
          <w:bCs/>
          <w:sz w:val="28"/>
          <w:szCs w:val="28"/>
        </w:rPr>
        <w:t>届毕业生升学出国专业与原专业一致性情况</w:t>
      </w:r>
    </w:p>
    <w:p w:rsidR="00000000" w:rsidRDefault="00250BDB">
      <w:pPr>
        <w:spacing w:line="480" w:lineRule="auto"/>
        <w:ind w:firstLineChars="196" w:firstLine="551"/>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3</w:t>
      </w:r>
      <w:r>
        <w:rPr>
          <w:rFonts w:ascii="楷体_GB2312" w:eastAsia="楷体_GB2312" w:hAnsi="楷体_GB2312" w:cs="楷体_GB2312" w:hint="eastAsia"/>
          <w:b/>
          <w:sz w:val="28"/>
          <w:szCs w:val="28"/>
        </w:rPr>
        <w:t>）升学原因</w:t>
      </w:r>
    </w:p>
    <w:p w:rsidR="00000000" w:rsidRDefault="00250BDB">
      <w:pPr>
        <w:spacing w:line="48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届毕业生选择升学出国的主要原因是“站在更高的求职点上”，占比</w:t>
      </w:r>
      <w:r>
        <w:rPr>
          <w:rFonts w:ascii="楷体_GB2312" w:eastAsia="楷体_GB2312" w:hAnsi="楷体_GB2312" w:cs="楷体_GB2312" w:hint="eastAsia"/>
          <w:sz w:val="28"/>
          <w:szCs w:val="28"/>
        </w:rPr>
        <w:t>51.60%</w:t>
      </w:r>
      <w:r>
        <w:rPr>
          <w:rFonts w:ascii="楷体_GB2312" w:eastAsia="楷体_GB2312" w:hAnsi="楷体_GB2312" w:cs="楷体_GB2312" w:hint="eastAsia"/>
          <w:sz w:val="28"/>
          <w:szCs w:val="28"/>
        </w:rPr>
        <w:t>；其次是“提升学历”和“提升综合能力”，占比分别为</w:t>
      </w:r>
      <w:r>
        <w:rPr>
          <w:rFonts w:ascii="楷体_GB2312" w:eastAsia="楷体_GB2312" w:hAnsi="楷体_GB2312" w:cs="楷体_GB2312" w:hint="eastAsia"/>
          <w:sz w:val="28"/>
          <w:szCs w:val="28"/>
        </w:rPr>
        <w:t>25.42%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22.98%</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1-10</w:t>
      </w:r>
      <w:r>
        <w:rPr>
          <w:rFonts w:ascii="楷体_GB2312" w:eastAsia="楷体_GB2312" w:hAnsi="楷体_GB2312" w:cs="楷体_GB2312" w:hint="eastAsia"/>
          <w:sz w:val="28"/>
          <w:szCs w:val="28"/>
        </w:rPr>
        <w:t>）。</w:t>
      </w:r>
    </w:p>
    <w:p w:rsidR="00000000" w:rsidRDefault="00250BDB">
      <w:pPr>
        <w:spacing w:line="480" w:lineRule="auto"/>
        <w:ind w:firstLineChars="200" w:firstLine="420"/>
        <w:jc w:val="center"/>
        <w:rPr>
          <w:rFonts w:ascii="楷体_GB2312" w:eastAsia="楷体_GB2312" w:hAnsi="楷体_GB2312" w:cs="楷体_GB2312"/>
          <w:sz w:val="28"/>
          <w:szCs w:val="28"/>
        </w:rPr>
      </w:pPr>
      <w:r>
        <w:object w:dxaOrig="7233" w:dyaOrig="4354">
          <v:shape id="_x0000_i1026" type="#_x0000_t75" style="width:271.5pt;height:157.5pt;mso-wrap-style:square;mso-position-horizontal-relative:page;mso-position-vertical-relative:page" o:ole="" o:gfxdata="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">
            <v:fill o:detectmouseclick="t"/>
            <v:imagedata r:id="rId30" o:title=""/>
            <o:lock v:ext="edit" aspectratio="f"/>
          </v:shape>
          <o:OLEObject Type="Embed" ProgID="Excel.Sheet.8" ShapeID="_x0000_i1026" DrawAspect="Content" ObjectID="_1598980159" r:id="rId31">
            <o:FieldCodes>\* MERGEFORMAT</o:FieldCodes>
          </o:OLEObject>
        </w:object>
      </w:r>
    </w:p>
    <w:p w:rsidR="00000000" w:rsidRDefault="00250BD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1-10  2015</w:t>
      </w:r>
      <w:r>
        <w:rPr>
          <w:rFonts w:ascii="楷体_GB2312" w:eastAsia="楷体_GB2312" w:hAnsi="楷体_GB2312" w:cs="楷体_GB2312" w:hint="eastAsia"/>
          <w:b/>
          <w:bCs/>
          <w:sz w:val="28"/>
          <w:szCs w:val="28"/>
        </w:rPr>
        <w:t>届毕业生升学出国原因</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3</w:t>
      </w:r>
      <w:r>
        <w:rPr>
          <w:rFonts w:ascii="楷体_GB2312" w:eastAsia="楷体_GB2312" w:hAnsi="楷体_GB2312" w:cs="楷体_GB2312" w:hint="eastAsia"/>
          <w:b/>
          <w:sz w:val="28"/>
          <w:szCs w:val="28"/>
        </w:rPr>
        <w:t>、灵活就业情况</w:t>
      </w:r>
    </w:p>
    <w:p w:rsidR="00000000" w:rsidRDefault="00250BDB">
      <w:pPr>
        <w:spacing w:line="480" w:lineRule="auto"/>
        <w:ind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lastRenderedPageBreak/>
        <w:t>2015</w:t>
      </w:r>
      <w:r>
        <w:rPr>
          <w:rFonts w:ascii="楷体_GB2312" w:eastAsia="楷体_GB2312" w:hAnsi="楷体_GB2312" w:cs="楷体_GB2312" w:hint="eastAsia"/>
          <w:sz w:val="28"/>
          <w:szCs w:val="28"/>
        </w:rPr>
        <w:t>届已就业的毕业生中，灵活就业者</w:t>
      </w:r>
      <w:r>
        <w:rPr>
          <w:rFonts w:ascii="楷体_GB2312" w:eastAsia="楷体_GB2312" w:hAnsi="楷体_GB2312" w:cs="楷体_GB2312" w:hint="eastAsia"/>
          <w:sz w:val="28"/>
          <w:szCs w:val="28"/>
        </w:rPr>
        <w:t>51</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2.58%</w:t>
      </w:r>
      <w:r>
        <w:rPr>
          <w:rFonts w:ascii="楷体_GB2312" w:eastAsia="楷体_GB2312" w:hAnsi="楷体_GB2312" w:cs="楷体_GB2312" w:hint="eastAsia"/>
          <w:sz w:val="28"/>
          <w:szCs w:val="28"/>
        </w:rPr>
        <w:t>，大部分是医学部学生。主要原因是医学生在通过当地统一考试、并</w:t>
      </w:r>
      <w:r>
        <w:rPr>
          <w:rFonts w:ascii="楷体_GB2312" w:eastAsia="楷体_GB2312" w:hAnsi="楷体_GB2312" w:cs="楷体_GB2312" w:hint="eastAsia"/>
          <w:sz w:val="28"/>
          <w:szCs w:val="28"/>
        </w:rPr>
        <w:t>试用期满后，才能签定就业协议或者合同。</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4</w:t>
      </w:r>
      <w:r>
        <w:rPr>
          <w:rFonts w:ascii="楷体_GB2312" w:eastAsia="楷体_GB2312" w:hAnsi="楷体_GB2312" w:cs="楷体_GB2312" w:hint="eastAsia"/>
          <w:b/>
          <w:sz w:val="28"/>
          <w:szCs w:val="28"/>
        </w:rPr>
        <w:t>、未就业情况</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未就业包括“待就业”“不就业拟升学”和“其他暂不就业”三种情况。截至</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25</w:t>
      </w:r>
      <w:r>
        <w:rPr>
          <w:rFonts w:ascii="楷体_GB2312" w:eastAsia="楷体_GB2312" w:hAnsi="楷体_GB2312" w:cs="楷体_GB2312" w:hint="eastAsia"/>
          <w:sz w:val="28"/>
          <w:szCs w:val="28"/>
        </w:rPr>
        <w:t>日，</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届毕业生未就业人数为</w:t>
      </w:r>
      <w:r>
        <w:rPr>
          <w:rFonts w:ascii="楷体_GB2312" w:eastAsia="楷体_GB2312" w:hAnsi="楷体_GB2312" w:cs="楷体_GB2312" w:hint="eastAsia"/>
          <w:sz w:val="28"/>
          <w:szCs w:val="28"/>
        </w:rPr>
        <w:t>41</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占毕业生总数的</w:t>
      </w:r>
      <w:r>
        <w:rPr>
          <w:rFonts w:ascii="楷体_GB2312" w:eastAsia="楷体_GB2312" w:hAnsi="楷体_GB2312" w:cs="楷体_GB2312" w:hint="eastAsia"/>
          <w:sz w:val="28"/>
          <w:szCs w:val="28"/>
        </w:rPr>
        <w:t>2.08%</w:t>
      </w:r>
      <w:r>
        <w:rPr>
          <w:rFonts w:ascii="楷体_GB2312" w:eastAsia="楷体_GB2312" w:hAnsi="楷体_GB2312" w:cs="楷体_GB2312" w:hint="eastAsia"/>
          <w:sz w:val="28"/>
          <w:szCs w:val="28"/>
        </w:rPr>
        <w:t>，各学部未就业情况（见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 xml:space="preserve"> </w:t>
      </w:r>
    </w:p>
    <w:p w:rsidR="00000000" w:rsidRDefault="00F86454">
      <w:pPr>
        <w:spacing w:line="480" w:lineRule="auto"/>
        <w:jc w:val="center"/>
        <w:rPr>
          <w:rFonts w:ascii="楷体_GB2312" w:eastAsia="楷体_GB2312" w:hAnsi="楷体_GB2312" w:cs="楷体_GB2312"/>
          <w:sz w:val="28"/>
          <w:szCs w:val="28"/>
        </w:rPr>
      </w:pPr>
      <w:r>
        <w:rPr>
          <w:noProof/>
        </w:rPr>
        <w:drawing>
          <wp:inline distT="0" distB="0" distL="0" distR="0">
            <wp:extent cx="4572000" cy="2743200"/>
            <wp:effectExtent l="4445" t="4445" r="14605" b="14605"/>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0000" w:rsidRDefault="00250BD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1-11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2015</w:t>
      </w:r>
      <w:r>
        <w:rPr>
          <w:rFonts w:ascii="楷体_GB2312" w:eastAsia="楷体_GB2312" w:hAnsi="楷体_GB2312" w:cs="楷体_GB2312" w:hint="eastAsia"/>
          <w:b/>
          <w:bCs/>
          <w:sz w:val="28"/>
          <w:szCs w:val="28"/>
        </w:rPr>
        <w:t>届毕业生未就业率</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（二）不同性别毕业生的毕业流向</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届毕业生中，女生单位就业率、升学出国率高于男生，而灵活就业率、未就业率低于男生（见</w:t>
      </w:r>
      <w:r>
        <w:rPr>
          <w:rFonts w:ascii="楷体_GB2312" w:eastAsia="楷体_GB2312" w:hAnsi="楷体_GB2312" w:cs="楷体_GB2312" w:hint="eastAsia"/>
          <w:b/>
          <w:sz w:val="28"/>
          <w:szCs w:val="28"/>
        </w:rPr>
        <w:t>图</w:t>
      </w:r>
      <w:r>
        <w:rPr>
          <w:rFonts w:ascii="楷体_GB2312" w:eastAsia="楷体_GB2312" w:hAnsi="楷体_GB2312" w:cs="楷体_GB2312" w:hint="eastAsia"/>
          <w:b/>
          <w:sz w:val="28"/>
          <w:szCs w:val="28"/>
        </w:rPr>
        <w:t>1-12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 xml:space="preserve">   </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lastRenderedPageBreak/>
        <w:drawing>
          <wp:inline distT="0" distB="0" distL="0" distR="0">
            <wp:extent cx="4572000" cy="2743200"/>
            <wp:effectExtent l="4445" t="4445" r="14605" b="14605"/>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0000" w:rsidRDefault="00250BD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1-12  2015</w:t>
      </w:r>
      <w:r>
        <w:rPr>
          <w:rFonts w:ascii="楷体_GB2312" w:eastAsia="楷体_GB2312" w:hAnsi="楷体_GB2312" w:cs="楷体_GB2312" w:hint="eastAsia"/>
          <w:b/>
          <w:bCs/>
          <w:sz w:val="28"/>
          <w:szCs w:val="28"/>
        </w:rPr>
        <w:t>届不同性别毕业生的毕业流向</w:t>
      </w:r>
    </w:p>
    <w:p w:rsidR="00000000" w:rsidRDefault="00250BDB">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（三）不同生源地区毕业生的毕业流向</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届毕业生中，江苏生源毕业生的升学出国率、未就业率高于其他省市生源毕业生，单位就业率、灵活就业率低于其他省市生源毕业生（见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1-13</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743200"/>
            <wp:effectExtent l="4445" t="4445" r="14605" b="14605"/>
            <wp:docPr id="1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00000" w:rsidRDefault="00250BDB">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1-13  </w:t>
      </w:r>
      <w:r>
        <w:rPr>
          <w:rFonts w:ascii="楷体_GB2312" w:eastAsia="楷体_GB2312" w:hAnsi="楷体_GB2312" w:cs="楷体_GB2312" w:hint="eastAsia"/>
          <w:b/>
          <w:bCs/>
          <w:sz w:val="28"/>
          <w:szCs w:val="28"/>
        </w:rPr>
        <w:t>不同生源地区</w:t>
      </w:r>
      <w:r>
        <w:rPr>
          <w:rFonts w:ascii="楷体_GB2312" w:eastAsia="楷体_GB2312" w:hAnsi="楷体_GB2312" w:cs="楷体_GB2312" w:hint="eastAsia"/>
          <w:b/>
          <w:bCs/>
          <w:sz w:val="28"/>
          <w:szCs w:val="28"/>
        </w:rPr>
        <w:t>2015</w:t>
      </w:r>
      <w:r>
        <w:rPr>
          <w:rFonts w:ascii="楷体_GB2312" w:eastAsia="楷体_GB2312" w:hAnsi="楷体_GB2312" w:cs="楷体_GB2312" w:hint="eastAsia"/>
          <w:b/>
          <w:bCs/>
          <w:sz w:val="28"/>
          <w:szCs w:val="28"/>
        </w:rPr>
        <w:t>届毕业生的毕业流向</w:t>
      </w:r>
    </w:p>
    <w:p w:rsidR="00000000" w:rsidRDefault="00250BDB">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五、就业分布</w:t>
      </w:r>
    </w:p>
    <w:p w:rsidR="00000000" w:rsidRDefault="00250BDB">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（一）毕业生就业单位统计</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我院</w:t>
      </w:r>
      <w:r>
        <w:rPr>
          <w:rFonts w:ascii="楷体_GB2312" w:eastAsia="楷体_GB2312" w:hAnsi="楷体_GB2312" w:cs="楷体_GB2312" w:hint="eastAsia"/>
          <w:sz w:val="28"/>
          <w:szCs w:val="28"/>
        </w:rPr>
        <w:t>2015</w:t>
      </w:r>
      <w:r>
        <w:rPr>
          <w:rFonts w:ascii="楷体_GB2312" w:eastAsia="楷体_GB2312" w:hAnsi="楷体_GB2312" w:cs="楷体_GB2312" w:hint="eastAsia"/>
          <w:sz w:val="28"/>
          <w:szCs w:val="28"/>
        </w:rPr>
        <w:t>届毕</w:t>
      </w:r>
      <w:r>
        <w:rPr>
          <w:rFonts w:ascii="楷体_GB2312" w:eastAsia="楷体_GB2312" w:hAnsi="楷体_GB2312" w:cs="楷体_GB2312" w:hint="eastAsia"/>
          <w:sz w:val="28"/>
          <w:szCs w:val="28"/>
        </w:rPr>
        <w:t>业生就业单位的类型（见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1-14</w:t>
      </w:r>
      <w:r>
        <w:rPr>
          <w:rFonts w:ascii="楷体_GB2312" w:eastAsia="楷体_GB2312" w:hAnsi="楷体_GB2312" w:cs="楷体_GB2312" w:hint="eastAsia"/>
          <w:sz w:val="28"/>
          <w:szCs w:val="28"/>
        </w:rPr>
        <w:t>）涵盖了医疗卫生单位、三资企业、国有企业、基础项目、艰苦企业、艰苦事业、机关、中初等教育单位、高等教育单位、其他事业单位、其他企业。其中，除其他企业外，毕业生就业单位的主要类型是医疗卫生单位，体现了我院办学的医学特色及优势。</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289153"/>
            <wp:effectExtent l="4445" t="3709" r="14605" b="12188"/>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0000" w:rsidRDefault="00250BDB">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1-14  2015</w:t>
      </w:r>
      <w:r>
        <w:rPr>
          <w:rFonts w:ascii="楷体_GB2312" w:eastAsia="楷体_GB2312" w:hAnsi="楷体_GB2312" w:cs="楷体_GB2312" w:hint="eastAsia"/>
          <w:b/>
          <w:bCs/>
          <w:sz w:val="28"/>
          <w:szCs w:val="28"/>
        </w:rPr>
        <w:t>届毕业生就业单位类型</w:t>
      </w:r>
    </w:p>
    <w:p w:rsidR="00000000" w:rsidRDefault="00250BDB">
      <w:pPr>
        <w:numPr>
          <w:ilvl w:val="0"/>
          <w:numId w:val="5"/>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毕业生就业行业统计</w:t>
      </w:r>
    </w:p>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从毕业生就业行业分布情况看，“卫生和社会工作”是毕业生就业所属行业的主要流向，占比为</w:t>
      </w:r>
      <w:r>
        <w:rPr>
          <w:rFonts w:ascii="楷体_GB2312" w:eastAsia="楷体_GB2312" w:hAnsi="楷体_GB2312" w:cs="楷体_GB2312" w:hint="eastAsia"/>
          <w:sz w:val="28"/>
          <w:szCs w:val="28"/>
        </w:rPr>
        <w:t>28.04%</w:t>
      </w:r>
      <w:r>
        <w:rPr>
          <w:rFonts w:ascii="楷体_GB2312" w:eastAsia="楷体_GB2312" w:hAnsi="楷体_GB2312" w:cs="楷体_GB2312" w:hint="eastAsia"/>
          <w:sz w:val="28"/>
          <w:szCs w:val="28"/>
        </w:rPr>
        <w:t>，这</w:t>
      </w:r>
      <w:r>
        <w:rPr>
          <w:rFonts w:ascii="楷体_GB2312" w:eastAsia="楷体_GB2312" w:hAnsi="楷体_GB2312" w:cs="楷体_GB2312" w:hint="eastAsia"/>
          <w:sz w:val="28"/>
          <w:szCs w:val="28"/>
        </w:rPr>
        <w:t>与我院的专业设置相匹配，与我院医学类学生占比相符；其次，为制造业，占比</w:t>
      </w:r>
      <w:r>
        <w:rPr>
          <w:rFonts w:ascii="楷体_GB2312" w:eastAsia="楷体_GB2312" w:hAnsi="楷体_GB2312" w:cs="楷体_GB2312" w:hint="eastAsia"/>
          <w:sz w:val="28"/>
          <w:szCs w:val="28"/>
        </w:rPr>
        <w:t>27.38%</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1-15</w:t>
      </w:r>
      <w:r>
        <w:rPr>
          <w:rFonts w:ascii="楷体_GB2312" w:eastAsia="楷体_GB2312" w:hAnsi="楷体_GB2312" w:cs="楷体_GB2312" w:hint="eastAsia"/>
          <w:sz w:val="28"/>
          <w:szCs w:val="28"/>
        </w:rPr>
        <w:t>）。</w:t>
      </w:r>
      <w:r w:rsidR="00F86454">
        <w:rPr>
          <w:noProof/>
        </w:rPr>
        <w:lastRenderedPageBreak/>
        <w:drawing>
          <wp:inline distT="0" distB="0" distL="0" distR="0">
            <wp:extent cx="5446158" cy="3370905"/>
            <wp:effectExtent l="4945" t="4311" r="16247" b="6159"/>
            <wp:docPr id="19" name="对象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00000" w:rsidRDefault="00250BDB">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1-15  2015</w:t>
      </w:r>
      <w:r>
        <w:rPr>
          <w:rFonts w:ascii="楷体_GB2312" w:eastAsia="楷体_GB2312" w:hAnsi="楷体_GB2312" w:cs="楷体_GB2312" w:hint="eastAsia"/>
          <w:b/>
          <w:bCs/>
          <w:sz w:val="28"/>
          <w:szCs w:val="28"/>
        </w:rPr>
        <w:t>届毕业生就业单位所属行业分布</w:t>
      </w:r>
    </w:p>
    <w:p w:rsidR="00000000" w:rsidRDefault="00250BDB">
      <w:pPr>
        <w:spacing w:line="480" w:lineRule="auto"/>
        <w:jc w:val="center"/>
        <w:rPr>
          <w:rFonts w:ascii="楷体_GB2312" w:eastAsia="楷体_GB2312" w:hAnsi="楷体_GB2312" w:cs="楷体_GB2312" w:hint="eastAsia"/>
          <w:b/>
          <w:sz w:val="28"/>
          <w:szCs w:val="28"/>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b/>
          <w:bCs/>
          <w:sz w:val="36"/>
          <w:szCs w:val="36"/>
        </w:rPr>
      </w:pPr>
    </w:p>
    <w:p w:rsidR="00000000" w:rsidRDefault="00250BDB">
      <w:pPr>
        <w:spacing w:line="480" w:lineRule="auto"/>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第二部分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毕业生就业工作举措</w:t>
      </w:r>
    </w:p>
    <w:p w:rsidR="00000000" w:rsidRDefault="00250BDB">
      <w:pPr>
        <w:pStyle w:val="a7"/>
        <w:spacing w:line="480" w:lineRule="auto"/>
        <w:ind w:firstLineChars="0" w:firstLine="0"/>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一、健全机制，全员育人</w:t>
      </w:r>
    </w:p>
    <w:p w:rsidR="00000000" w:rsidRDefault="00250BDB">
      <w:pPr>
        <w:pStyle w:val="a7"/>
        <w:spacing w:line="480" w:lineRule="auto"/>
        <w:ind w:firstLine="560"/>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学院高度重视毕业生就业工作，成立毕业生就业工作小组，党委书记和院长担任组长，对就业工作成员进行分工。将责任落实到学院各部门，分管院领导具体抓落实，形成学生工作部（处）、学部、毕业年级三级联动机制</w:t>
      </w:r>
      <w:r>
        <w:rPr>
          <w:rFonts w:ascii="楷体_GB2312" w:eastAsia="楷体_GB2312" w:hAnsi="楷体_GB2312" w:cs="楷体_GB2312" w:hint="eastAsia"/>
          <w:sz w:val="28"/>
          <w:szCs w:val="28"/>
        </w:rPr>
        <w:t>，</w:t>
      </w:r>
      <w:r>
        <w:rPr>
          <w:rFonts w:ascii="楷体_GB2312" w:eastAsia="楷体_GB2312" w:hAnsi="楷体_GB2312" w:cs="楷体_GB2312" w:hint="eastAsia"/>
          <w:kern w:val="0"/>
          <w:sz w:val="28"/>
          <w:szCs w:val="28"/>
        </w:rPr>
        <w:t>实施</w:t>
      </w:r>
      <w:r>
        <w:rPr>
          <w:rFonts w:ascii="楷体_GB2312" w:eastAsia="楷体_GB2312" w:hAnsi="楷体_GB2312" w:cs="楷体_GB2312" w:hint="eastAsia"/>
          <w:kern w:val="0"/>
          <w:sz w:val="28"/>
          <w:szCs w:val="28"/>
        </w:rPr>
        <w:t>“一把手工程”。</w:t>
      </w:r>
    </w:p>
    <w:p w:rsidR="00000000" w:rsidRDefault="00250BDB">
      <w:pPr>
        <w:pStyle w:val="a7"/>
        <w:spacing w:line="480" w:lineRule="auto"/>
        <w:ind w:firstLine="560"/>
        <w:rPr>
          <w:rFonts w:ascii="楷体_GB2312" w:eastAsia="楷体_GB2312" w:hAnsi="楷体_GB2312" w:cs="楷体_GB2312"/>
          <w:sz w:val="28"/>
          <w:szCs w:val="28"/>
        </w:rPr>
      </w:pPr>
      <w:r>
        <w:rPr>
          <w:rFonts w:ascii="楷体_GB2312" w:eastAsia="楷体_GB2312" w:hAnsi="楷体_GB2312" w:cs="楷体_GB2312" w:hint="eastAsia"/>
          <w:kern w:val="0"/>
          <w:sz w:val="28"/>
          <w:szCs w:val="28"/>
        </w:rPr>
        <w:t>学院将毕业生就业工作列为年度目标考核的主要指标，制定《南通大学杏林学院毕业生就业工作奖励办法》，将就业工作情况与年终考核评先评优等挂钩，结合毕业生初次就业率、年终就业率、就业困难生帮扶、就业创业指导与服务等方面进行考核。</w:t>
      </w:r>
    </w:p>
    <w:p w:rsidR="00000000" w:rsidRDefault="00250BDB">
      <w:pPr>
        <w:pStyle w:val="a7"/>
        <w:spacing w:line="480" w:lineRule="auto"/>
        <w:ind w:firstLine="560"/>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学院每次教职工大会均组织宣讲当前就业形势和政策，通报学院毕业生就业情况。全院教师积极为毕业生提供就业服务，做到目标明确、责任落实，群策群力、全员参与。</w:t>
      </w:r>
    </w:p>
    <w:p w:rsidR="00000000" w:rsidRDefault="00250BDB">
      <w:pPr>
        <w:pStyle w:val="a7"/>
        <w:autoSpaceDE w:val="0"/>
        <w:autoSpaceDN w:val="0"/>
        <w:adjustRightInd w:val="0"/>
        <w:spacing w:line="480" w:lineRule="auto"/>
        <w:ind w:firstLineChars="0" w:firstLine="0"/>
        <w:jc w:val="left"/>
        <w:rPr>
          <w:rFonts w:ascii="楷体_GB2312" w:eastAsia="楷体_GB2312" w:hAnsi="楷体_GB2312" w:cs="楷体_GB2312"/>
          <w:b/>
          <w:bCs/>
          <w:kern w:val="0"/>
          <w:sz w:val="32"/>
          <w:szCs w:val="32"/>
        </w:rPr>
      </w:pPr>
      <w:r>
        <w:rPr>
          <w:rFonts w:ascii="楷体_GB2312" w:eastAsia="楷体_GB2312" w:hAnsi="楷体_GB2312" w:cs="楷体_GB2312" w:hint="eastAsia"/>
          <w:b/>
          <w:bCs/>
          <w:sz w:val="32"/>
          <w:szCs w:val="32"/>
        </w:rPr>
        <w:t>二、深化职业生涯规划教育，</w:t>
      </w:r>
      <w:r>
        <w:rPr>
          <w:rFonts w:ascii="楷体_GB2312" w:eastAsia="楷体_GB2312" w:hAnsi="楷体_GB2312" w:cs="楷体_GB2312" w:hint="eastAsia"/>
          <w:b/>
          <w:bCs/>
          <w:kern w:val="0"/>
          <w:sz w:val="32"/>
          <w:szCs w:val="32"/>
        </w:rPr>
        <w:t>大力提升学生就业能力</w:t>
      </w:r>
    </w:p>
    <w:p w:rsidR="00000000" w:rsidRDefault="00250BDB">
      <w:pPr>
        <w:pStyle w:val="a7"/>
        <w:autoSpaceDE w:val="0"/>
        <w:autoSpaceDN w:val="0"/>
        <w:adjustRightInd w:val="0"/>
        <w:spacing w:line="480" w:lineRule="auto"/>
        <w:ind w:firstLine="56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学院坚持以课程教学为主渠道，课外讲座、咨询辅导为补充，专业服务与学生社团</w:t>
      </w:r>
      <w:r>
        <w:rPr>
          <w:rFonts w:ascii="楷体_GB2312" w:eastAsia="楷体_GB2312" w:hAnsi="楷体_GB2312" w:cs="楷体_GB2312" w:hint="eastAsia"/>
          <w:kern w:val="0"/>
          <w:sz w:val="28"/>
          <w:szCs w:val="28"/>
        </w:rPr>
        <w:t>活动相结合，根据不同类型学生对职业生涯辅导和就业指导服务的个性化需求，实施“面—线—点”三位一体就业指导。“面”——通过开设就业指导必修课程、扩大就业指导讲座的覆盖面，提升全院学生的职业规划意识和就业能力；“线”——针对不同类型学科、专业学生的特点，开展相应的就业能力培训和职业辅导；“点”——针对不同学生个体，提供个性化的职业规划和就业创业个体咨询。</w:t>
      </w:r>
    </w:p>
    <w:p w:rsidR="00000000" w:rsidRDefault="00250BDB">
      <w:pPr>
        <w:pStyle w:val="a7"/>
        <w:autoSpaceDE w:val="0"/>
        <w:autoSpaceDN w:val="0"/>
        <w:adjustRightInd w:val="0"/>
        <w:spacing w:line="480" w:lineRule="auto"/>
        <w:ind w:firstLine="56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lastRenderedPageBreak/>
        <w:t>强化就业指导课程建设。</w:t>
      </w:r>
      <w:r>
        <w:rPr>
          <w:rFonts w:ascii="楷体_GB2312" w:eastAsia="楷体_GB2312" w:hAnsi="楷体_GB2312" w:cs="楷体_GB2312" w:hint="eastAsia"/>
          <w:sz w:val="28"/>
          <w:szCs w:val="28"/>
        </w:rPr>
        <w:t>学院根据教学计划安排，分阶段开设《大学生职业辅导》必修课程。</w:t>
      </w:r>
      <w:r>
        <w:rPr>
          <w:rFonts w:ascii="楷体_GB2312" w:eastAsia="楷体_GB2312" w:hAnsi="楷体_GB2312" w:cs="楷体_GB2312" w:hint="eastAsia"/>
          <w:kern w:val="0"/>
          <w:sz w:val="28"/>
          <w:szCs w:val="28"/>
        </w:rPr>
        <w:t>从师资队伍建设、教学内容和教学形式等方面不断加强课程建设。学院</w:t>
      </w:r>
      <w:r>
        <w:rPr>
          <w:rFonts w:ascii="楷体_GB2312" w:eastAsia="楷体_GB2312" w:hAnsi="楷体_GB2312" w:cs="楷体_GB2312" w:hint="eastAsia"/>
          <w:sz w:val="28"/>
          <w:szCs w:val="28"/>
        </w:rPr>
        <w:t>根据统编教材及</w:t>
      </w:r>
      <w:r>
        <w:rPr>
          <w:rFonts w:ascii="楷体_GB2312" w:eastAsia="楷体_GB2312" w:hAnsi="楷体_GB2312" w:cs="楷体_GB2312" w:hint="eastAsia"/>
          <w:sz w:val="28"/>
          <w:szCs w:val="28"/>
        </w:rPr>
        <w:t>大纲，定期组织集体备课与研讨，并安排教学督导随堂听课。教学工作量和考核结果计</w:t>
      </w:r>
      <w:r>
        <w:rPr>
          <w:rFonts w:ascii="楷体_GB2312" w:eastAsia="楷体_GB2312" w:hAnsi="楷体_GB2312" w:cs="楷体_GB2312" w:hint="eastAsia"/>
          <w:kern w:val="0"/>
          <w:sz w:val="28"/>
          <w:szCs w:val="28"/>
        </w:rPr>
        <w:t>入年度考核指标，促进提升教学质量。</w:t>
      </w:r>
    </w:p>
    <w:p w:rsidR="00000000" w:rsidRDefault="00250BDB">
      <w:pPr>
        <w:pStyle w:val="a7"/>
        <w:autoSpaceDE w:val="0"/>
        <w:autoSpaceDN w:val="0"/>
        <w:adjustRightInd w:val="0"/>
        <w:spacing w:line="480" w:lineRule="auto"/>
        <w:ind w:firstLine="560"/>
        <w:jc w:val="left"/>
        <w:rPr>
          <w:rFonts w:ascii="楷体_GB2312" w:eastAsia="楷体_GB2312" w:hAnsi="楷体_GB2312" w:cs="楷体_GB2312"/>
          <w:sz w:val="28"/>
          <w:szCs w:val="28"/>
        </w:rPr>
      </w:pPr>
      <w:r>
        <w:rPr>
          <w:rFonts w:ascii="楷体_GB2312" w:eastAsia="楷体_GB2312" w:hAnsi="楷体_GB2312" w:cs="楷体_GB2312" w:hint="eastAsia"/>
          <w:kern w:val="0"/>
          <w:sz w:val="28"/>
          <w:szCs w:val="28"/>
        </w:rPr>
        <w:t>探索拓展学生就业指导形式，增强职业辅导实效性。学院“与职行在线”合作，免费为学生提供</w:t>
      </w:r>
      <w:r>
        <w:rPr>
          <w:rFonts w:ascii="楷体_GB2312" w:eastAsia="楷体_GB2312" w:hAnsi="楷体_GB2312" w:cs="楷体_GB2312" w:hint="eastAsia"/>
          <w:sz w:val="28"/>
          <w:szCs w:val="28"/>
        </w:rPr>
        <w:t>职业倾向与职业能力测试，帮助学生找准职业生涯目标。通过开展大学生职业生涯规划大赛、职场精英赛等活动，帮助学生树立正确的职业发展观，找到自己努力的方向，提升就业能力。</w:t>
      </w:r>
    </w:p>
    <w:p w:rsidR="00000000" w:rsidRDefault="00250BDB">
      <w:pPr>
        <w:pStyle w:val="a7"/>
        <w:spacing w:line="480" w:lineRule="auto"/>
        <w:ind w:firstLine="560"/>
        <w:rPr>
          <w:rFonts w:ascii="楷体_GB2312" w:eastAsia="楷体_GB2312" w:hAnsi="楷体_GB2312" w:cs="楷体_GB2312" w:hint="eastAsia"/>
          <w:kern w:val="0"/>
          <w:sz w:val="28"/>
          <w:szCs w:val="28"/>
        </w:rPr>
      </w:pPr>
      <w:r>
        <w:rPr>
          <w:rFonts w:ascii="楷体_GB2312" w:eastAsia="楷体_GB2312" w:hAnsi="楷体_GB2312" w:cs="楷体_GB2312" w:hint="eastAsia"/>
          <w:sz w:val="28"/>
          <w:szCs w:val="28"/>
        </w:rPr>
        <w:t>学院重视对大学生进行全程化职业生涯规划教育。新生入学即安排学部（系）主任、专业负责人进行职业教育。学生毕业前，通过讲座、大赛等形式开展毕业生就业观教育</w:t>
      </w:r>
      <w:r>
        <w:rPr>
          <w:rFonts w:ascii="楷体_GB2312" w:eastAsia="楷体_GB2312" w:hAnsi="楷体_GB2312" w:cs="楷体_GB2312" w:hint="eastAsia"/>
          <w:sz w:val="28"/>
          <w:szCs w:val="28"/>
        </w:rPr>
        <w:t>，将职业生涯规划</w:t>
      </w:r>
      <w:r>
        <w:rPr>
          <w:rFonts w:ascii="楷体_GB2312" w:eastAsia="楷体_GB2312" w:hAnsi="楷体_GB2312" w:cs="楷体_GB2312" w:hint="eastAsia"/>
          <w:kern w:val="0"/>
          <w:sz w:val="28"/>
          <w:szCs w:val="28"/>
        </w:rPr>
        <w:t>贯穿大学学习生活全过程。</w:t>
      </w:r>
    </w:p>
    <w:p w:rsidR="00000000" w:rsidRDefault="00250BDB">
      <w:pPr>
        <w:pStyle w:val="a7"/>
        <w:spacing w:line="480" w:lineRule="auto"/>
        <w:ind w:firstLineChars="0" w:firstLine="0"/>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三、加强信息化建设，实现就业信息共享</w:t>
      </w:r>
    </w:p>
    <w:p w:rsidR="00000000" w:rsidRDefault="00250BDB">
      <w:pPr>
        <w:pStyle w:val="a7"/>
        <w:autoSpaceDE w:val="0"/>
        <w:autoSpaceDN w:val="0"/>
        <w:adjustRightInd w:val="0"/>
        <w:spacing w:line="480" w:lineRule="auto"/>
        <w:ind w:firstLine="56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为更好地方便学生及时了解和查询就业信息，切实提高就业工作信息化水平，学院</w:t>
      </w:r>
      <w:r>
        <w:rPr>
          <w:rFonts w:ascii="楷体_GB2312" w:eastAsia="楷体_GB2312" w:hAnsi="楷体_GB2312" w:cs="楷体_GB2312" w:hint="eastAsia"/>
          <w:kern w:val="0"/>
          <w:sz w:val="28"/>
          <w:szCs w:val="28"/>
        </w:rPr>
        <w:t>2014</w:t>
      </w:r>
      <w:r>
        <w:rPr>
          <w:rFonts w:ascii="楷体_GB2312" w:eastAsia="楷体_GB2312" w:hAnsi="楷体_GB2312" w:cs="楷体_GB2312" w:hint="eastAsia"/>
          <w:kern w:val="0"/>
          <w:sz w:val="28"/>
          <w:szCs w:val="28"/>
        </w:rPr>
        <w:t>年与江苏省就业网络联盟实现就</w:t>
      </w:r>
      <w:r>
        <w:rPr>
          <w:rFonts w:ascii="楷体_GB2312" w:eastAsia="楷体_GB2312" w:hAnsi="楷体_GB2312" w:cs="楷体_GB2312" w:hint="eastAsia"/>
          <w:sz w:val="28"/>
          <w:szCs w:val="28"/>
        </w:rPr>
        <w:t>业信息有效对接，</w:t>
      </w:r>
      <w:r>
        <w:rPr>
          <w:rFonts w:ascii="楷体_GB2312" w:eastAsia="楷体_GB2312" w:hAnsi="楷体_GB2312" w:cs="楷体_GB2312" w:hint="eastAsia"/>
          <w:kern w:val="0"/>
          <w:sz w:val="28"/>
          <w:szCs w:val="28"/>
        </w:rPr>
        <w:t>创建就业创业网，设置“就业创业政策”、“职场扫描”、“就业指导”、“创业讲堂”等栏目，并成功邀请</w:t>
      </w:r>
      <w:r>
        <w:rPr>
          <w:rFonts w:ascii="楷体_GB2312" w:eastAsia="楷体_GB2312" w:hAnsi="楷体_GB2312" w:cs="楷体_GB2312" w:hint="eastAsia"/>
          <w:kern w:val="0"/>
          <w:sz w:val="28"/>
          <w:szCs w:val="28"/>
        </w:rPr>
        <w:t>92</w:t>
      </w:r>
      <w:r>
        <w:rPr>
          <w:rFonts w:ascii="楷体_GB2312" w:eastAsia="楷体_GB2312" w:hAnsi="楷体_GB2312" w:cs="楷体_GB2312" w:hint="eastAsia"/>
          <w:kern w:val="0"/>
          <w:sz w:val="28"/>
          <w:szCs w:val="28"/>
        </w:rPr>
        <w:t>家单位注册，发布职位信息，努力完善“智慧就业”服务平台建设</w:t>
      </w:r>
      <w:r>
        <w:rPr>
          <w:rFonts w:ascii="楷体_GB2312" w:eastAsia="楷体_GB2312" w:hAnsi="楷体_GB2312" w:cs="楷体_GB2312" w:hint="eastAsia"/>
          <w:sz w:val="28"/>
          <w:szCs w:val="28"/>
        </w:rPr>
        <w:t>。</w:t>
      </w:r>
      <w:r>
        <w:rPr>
          <w:rFonts w:ascii="楷体_GB2312" w:eastAsia="楷体_GB2312" w:hAnsi="楷体_GB2312" w:cs="楷体_GB2312" w:hint="eastAsia"/>
          <w:kern w:val="0"/>
          <w:sz w:val="28"/>
          <w:szCs w:val="28"/>
        </w:rPr>
        <w:t>同时，利用新媒体手段，构建就业创业网、</w:t>
      </w:r>
      <w:r>
        <w:rPr>
          <w:rFonts w:ascii="楷体_GB2312" w:eastAsia="楷体_GB2312" w:hAnsi="楷体_GB2312" w:cs="楷体_GB2312" w:hint="eastAsia"/>
          <w:sz w:val="28"/>
          <w:szCs w:val="28"/>
        </w:rPr>
        <w:t>短信平台</w:t>
      </w:r>
      <w:r>
        <w:rPr>
          <w:rFonts w:ascii="楷体_GB2312" w:eastAsia="楷体_GB2312" w:hAnsi="楷体_GB2312" w:cs="楷体_GB2312" w:hint="eastAsia"/>
          <w:kern w:val="0"/>
          <w:sz w:val="28"/>
          <w:szCs w:val="28"/>
        </w:rPr>
        <w:t>和微信公众账号三大平台，让学生和用人单位都能随时随地查询就业相关信息。</w:t>
      </w:r>
    </w:p>
    <w:p w:rsidR="00000000" w:rsidRDefault="00250BDB">
      <w:pPr>
        <w:pStyle w:val="a7"/>
        <w:spacing w:line="480" w:lineRule="auto"/>
        <w:ind w:firstLineChars="0" w:firstLine="0"/>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四、走出去、请进来，积极拓展就</w:t>
      </w:r>
      <w:r>
        <w:rPr>
          <w:rFonts w:ascii="楷体_GB2312" w:eastAsia="楷体_GB2312" w:hAnsi="楷体_GB2312" w:cs="楷体_GB2312" w:hint="eastAsia"/>
          <w:b/>
          <w:bCs/>
          <w:sz w:val="32"/>
          <w:szCs w:val="32"/>
        </w:rPr>
        <w:t>业市场</w:t>
      </w:r>
    </w:p>
    <w:p w:rsidR="00000000" w:rsidRDefault="00250BDB">
      <w:pPr>
        <w:pStyle w:val="a7"/>
        <w:spacing w:line="480" w:lineRule="auto"/>
        <w:ind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学院保持和各领域用人单位的密切联系与合作，积极推进客户管理，将近三年毕业生就业的优质用人单位作为目标客户，对应到学院</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个学部、</w:t>
      </w:r>
      <w:r>
        <w:rPr>
          <w:rFonts w:ascii="楷体_GB2312" w:eastAsia="楷体_GB2312" w:hAnsi="楷体_GB2312" w:cs="楷体_GB2312"/>
          <w:sz w:val="28"/>
          <w:szCs w:val="28"/>
        </w:rPr>
        <w:t>4</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个专业，实行“一对一”深度服务。通过组团走访用人单位，调研用人单位就业需求和毕业生职业发展状况，开辟大学生就业创业与社会实践基地，努力开拓毕业生就业市场。同时，积极举办校园就业招聘洽谈会，促进毕业生就业。</w:t>
      </w:r>
    </w:p>
    <w:p w:rsidR="00000000" w:rsidRDefault="00250BDB">
      <w:pPr>
        <w:pStyle w:val="a7"/>
        <w:spacing w:line="480" w:lineRule="auto"/>
        <w:ind w:firstLineChars="0" w:firstLine="0"/>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五、关注困难学生，有效开展就业帮扶</w:t>
      </w:r>
    </w:p>
    <w:p w:rsidR="00000000" w:rsidRDefault="00250BDB">
      <w:pPr>
        <w:autoSpaceDE w:val="0"/>
        <w:autoSpaceDN w:val="0"/>
        <w:adjustRightInd w:val="0"/>
        <w:spacing w:line="480" w:lineRule="auto"/>
        <w:ind w:firstLineChars="200" w:firstLine="560"/>
        <w:jc w:val="left"/>
        <w:rPr>
          <w:rFonts w:ascii="楷体_GB2312" w:eastAsia="楷体_GB2312" w:hAnsi="楷体_GB2312" w:cs="楷体_GB2312"/>
          <w:kern w:val="0"/>
          <w:sz w:val="28"/>
          <w:szCs w:val="28"/>
        </w:rPr>
      </w:pPr>
      <w:r>
        <w:rPr>
          <w:rFonts w:ascii="楷体_GB2312" w:eastAsia="楷体_GB2312" w:hAnsi="楷体_GB2312" w:cs="楷体_GB2312" w:hint="eastAsia"/>
          <w:sz w:val="28"/>
          <w:szCs w:val="28"/>
        </w:rPr>
        <w:t>学院将做好困难学生的就业指导和推荐作为毕业生工作的重要内容，制定《南通大学杏林学院困难毕业生帮扶实施办法》，建立困难学生帮扶档案，</w:t>
      </w:r>
      <w:r>
        <w:rPr>
          <w:rFonts w:ascii="楷体_GB2312" w:eastAsia="楷体_GB2312" w:hAnsi="楷体_GB2312" w:cs="楷体_GB2312" w:hint="eastAsia"/>
          <w:kern w:val="0"/>
          <w:sz w:val="28"/>
          <w:szCs w:val="28"/>
        </w:rPr>
        <w:t>从</w:t>
      </w:r>
      <w:r>
        <w:rPr>
          <w:rFonts w:ascii="楷体_GB2312" w:eastAsia="楷体_GB2312" w:hAnsi="楷体_GB2312" w:cs="楷体_GB2312" w:hint="eastAsia"/>
          <w:kern w:val="0"/>
          <w:sz w:val="28"/>
          <w:szCs w:val="28"/>
        </w:rPr>
        <w:t>政策、技巧、心理等方面入手，通过座谈会、面谈等多种形式，</w:t>
      </w:r>
      <w:r>
        <w:rPr>
          <w:rFonts w:ascii="楷体_GB2312" w:eastAsia="楷体_GB2312" w:hAnsi="楷体_GB2312" w:cs="楷体_GB2312" w:hint="eastAsia"/>
          <w:sz w:val="28"/>
          <w:szCs w:val="28"/>
        </w:rPr>
        <w:t>对学习、生活、心理上有困难的学生实施针对性的帮扶。</w:t>
      </w:r>
      <w:r>
        <w:rPr>
          <w:rFonts w:ascii="楷体_GB2312" w:eastAsia="楷体_GB2312" w:hAnsi="楷体_GB2312" w:cs="楷体_GB2312" w:hint="eastAsia"/>
          <w:kern w:val="0"/>
          <w:sz w:val="28"/>
          <w:szCs w:val="28"/>
        </w:rPr>
        <w:t>拓展多种渠道，采取多种措施，为困难学生提供就业见习和实习机会。同时，做好未就业毕业生的跟踪服务，及时掌握毕业生就业动态，帮助他们解决就业中的困难。</w:t>
      </w:r>
    </w:p>
    <w:p w:rsidR="00000000" w:rsidRDefault="00250BDB">
      <w:pPr>
        <w:pStyle w:val="a7"/>
        <w:spacing w:line="480" w:lineRule="auto"/>
        <w:ind w:firstLineChars="0" w:firstLine="0"/>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六、加强专业化培训指导，打造高水平就业工作队伍</w:t>
      </w:r>
    </w:p>
    <w:p w:rsidR="00000000" w:rsidRDefault="00250BDB">
      <w:pPr>
        <w:pStyle w:val="a7"/>
        <w:spacing w:line="480" w:lineRule="auto"/>
        <w:ind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学院通过多种途径，不断加强就业创业指导教师队伍建设。</w:t>
      </w:r>
      <w:r>
        <w:rPr>
          <w:rFonts w:ascii="楷体_GB2312" w:eastAsia="楷体_GB2312" w:hAnsi="楷体_GB2312" w:cs="楷体_GB2312" w:hint="eastAsia"/>
          <w:kern w:val="0"/>
          <w:sz w:val="28"/>
          <w:szCs w:val="28"/>
        </w:rPr>
        <w:t>为提高业务能力，定期组织就业工作研讨会，</w:t>
      </w:r>
      <w:r>
        <w:rPr>
          <w:rFonts w:ascii="楷体_GB2312" w:eastAsia="楷体_GB2312" w:hAnsi="楷体_GB2312" w:cs="楷体_GB2312" w:hint="eastAsia"/>
          <w:sz w:val="28"/>
          <w:szCs w:val="28"/>
        </w:rPr>
        <w:t>对就业工作人员进行培训；同时，</w:t>
      </w:r>
      <w:r>
        <w:rPr>
          <w:rFonts w:ascii="楷体_GB2312" w:eastAsia="楷体_GB2312" w:hAnsi="楷体_GB2312" w:cs="楷体_GB2312" w:hint="eastAsia"/>
          <w:kern w:val="0"/>
          <w:sz w:val="28"/>
          <w:szCs w:val="28"/>
        </w:rPr>
        <w:t>选派就业工作人员</w:t>
      </w:r>
      <w:r>
        <w:rPr>
          <w:rFonts w:ascii="楷体_GB2312" w:eastAsia="楷体_GB2312" w:hAnsi="楷体_GB2312" w:cs="楷体_GB2312" w:hint="eastAsia"/>
          <w:sz w:val="28"/>
          <w:szCs w:val="28"/>
        </w:rPr>
        <w:t>外出参加就业指导培训和学习</w:t>
      </w:r>
      <w:r>
        <w:rPr>
          <w:rFonts w:ascii="楷体_GB2312" w:eastAsia="楷体_GB2312" w:hAnsi="楷体_GB2312" w:cs="楷体_GB2312" w:hint="eastAsia"/>
          <w:kern w:val="0"/>
          <w:sz w:val="28"/>
          <w:szCs w:val="28"/>
        </w:rPr>
        <w:t>。学院现有</w:t>
      </w:r>
      <w:r>
        <w:rPr>
          <w:rFonts w:ascii="楷体_GB2312" w:eastAsia="楷体_GB2312" w:hAnsi="楷体_GB2312" w:cs="楷体_GB2312" w:hint="eastAsia"/>
          <w:kern w:val="0"/>
          <w:sz w:val="28"/>
          <w:szCs w:val="28"/>
        </w:rPr>
        <w:t>16</w:t>
      </w:r>
      <w:r>
        <w:rPr>
          <w:rFonts w:ascii="楷体_GB2312" w:eastAsia="楷体_GB2312" w:hAnsi="楷体_GB2312" w:cs="楷体_GB2312" w:hint="eastAsia"/>
          <w:kern w:val="0"/>
          <w:sz w:val="28"/>
          <w:szCs w:val="28"/>
        </w:rPr>
        <w:t>位教师通过了国家职业指导师和心理</w:t>
      </w:r>
      <w:r>
        <w:rPr>
          <w:rFonts w:ascii="楷体_GB2312" w:eastAsia="楷体_GB2312" w:hAnsi="楷体_GB2312" w:cs="楷体_GB2312" w:hint="eastAsia"/>
          <w:kern w:val="0"/>
          <w:sz w:val="28"/>
          <w:szCs w:val="28"/>
        </w:rPr>
        <w:t>咨询师考试，其中有</w:t>
      </w:r>
      <w:r>
        <w:rPr>
          <w:rFonts w:ascii="楷体_GB2312" w:eastAsia="楷体_GB2312" w:hAnsi="楷体_GB2312" w:cs="楷体_GB2312" w:hint="eastAsia"/>
          <w:kern w:val="0"/>
          <w:sz w:val="28"/>
          <w:szCs w:val="28"/>
        </w:rPr>
        <w:t>1</w:t>
      </w:r>
      <w:r>
        <w:rPr>
          <w:rFonts w:ascii="楷体_GB2312" w:eastAsia="楷体_GB2312" w:hAnsi="楷体_GB2312" w:cs="楷体_GB2312" w:hint="eastAsia"/>
          <w:kern w:val="0"/>
          <w:sz w:val="28"/>
          <w:szCs w:val="28"/>
        </w:rPr>
        <w:t>位教师通过国家高级职业指导师，</w:t>
      </w:r>
      <w:r>
        <w:rPr>
          <w:rFonts w:ascii="楷体_GB2312" w:eastAsia="楷体_GB2312" w:hAnsi="楷体_GB2312" w:cs="楷体_GB2312" w:hint="eastAsia"/>
          <w:kern w:val="0"/>
          <w:sz w:val="28"/>
          <w:szCs w:val="28"/>
        </w:rPr>
        <w:t>2</w:t>
      </w:r>
      <w:r>
        <w:rPr>
          <w:rFonts w:ascii="楷体_GB2312" w:eastAsia="楷体_GB2312" w:hAnsi="楷体_GB2312" w:cs="楷体_GB2312" w:hint="eastAsia"/>
          <w:kern w:val="0"/>
          <w:sz w:val="28"/>
          <w:szCs w:val="28"/>
        </w:rPr>
        <w:t>位老师通过</w:t>
      </w:r>
      <w:r>
        <w:rPr>
          <w:rFonts w:ascii="楷体_GB2312" w:eastAsia="楷体_GB2312" w:hAnsi="楷体_GB2312" w:cs="楷体_GB2312" w:hint="eastAsia"/>
          <w:kern w:val="0"/>
          <w:sz w:val="28"/>
          <w:szCs w:val="28"/>
        </w:rPr>
        <w:t>GCDF</w:t>
      </w:r>
      <w:r>
        <w:rPr>
          <w:rFonts w:ascii="楷体_GB2312" w:eastAsia="楷体_GB2312" w:hAnsi="楷体_GB2312" w:cs="楷体_GB2312" w:hint="eastAsia"/>
          <w:kern w:val="0"/>
          <w:sz w:val="28"/>
          <w:szCs w:val="28"/>
        </w:rPr>
        <w:t>全球职业生涯规划师考试，</w:t>
      </w:r>
      <w:r>
        <w:rPr>
          <w:rFonts w:ascii="楷体_GB2312" w:eastAsia="楷体_GB2312" w:hAnsi="楷体_GB2312" w:cs="楷体_GB2312" w:hint="eastAsia"/>
          <w:kern w:val="0"/>
          <w:sz w:val="28"/>
          <w:szCs w:val="28"/>
        </w:rPr>
        <w:t>13</w:t>
      </w:r>
      <w:r>
        <w:rPr>
          <w:rFonts w:ascii="楷体_GB2312" w:eastAsia="楷体_GB2312" w:hAnsi="楷体_GB2312" w:cs="楷体_GB2312" w:hint="eastAsia"/>
          <w:kern w:val="0"/>
          <w:sz w:val="28"/>
          <w:szCs w:val="28"/>
        </w:rPr>
        <w:t>位教师相继通过创业咨询师、</w:t>
      </w:r>
      <w:r>
        <w:rPr>
          <w:rFonts w:ascii="楷体_GB2312" w:eastAsia="楷体_GB2312" w:hAnsi="楷体_GB2312" w:cs="楷体_GB2312" w:hint="eastAsia"/>
          <w:kern w:val="0"/>
          <w:sz w:val="28"/>
          <w:szCs w:val="28"/>
        </w:rPr>
        <w:t>SYB</w:t>
      </w:r>
      <w:r>
        <w:rPr>
          <w:rFonts w:ascii="楷体_GB2312" w:eastAsia="楷体_GB2312" w:hAnsi="楷体_GB2312" w:cs="楷体_GB2312" w:hint="eastAsia"/>
          <w:kern w:val="0"/>
          <w:sz w:val="28"/>
          <w:szCs w:val="28"/>
        </w:rPr>
        <w:t>和</w:t>
      </w:r>
      <w:r>
        <w:rPr>
          <w:rFonts w:ascii="楷体_GB2312" w:eastAsia="楷体_GB2312" w:hAnsi="楷体_GB2312" w:cs="楷体_GB2312" w:hint="eastAsia"/>
          <w:kern w:val="0"/>
          <w:sz w:val="28"/>
          <w:szCs w:val="28"/>
        </w:rPr>
        <w:t>KAB</w:t>
      </w:r>
      <w:r>
        <w:rPr>
          <w:rFonts w:ascii="楷体_GB2312" w:eastAsia="楷体_GB2312" w:hAnsi="楷体_GB2312" w:cs="楷体_GB2312" w:hint="eastAsia"/>
          <w:kern w:val="0"/>
          <w:sz w:val="28"/>
          <w:szCs w:val="28"/>
        </w:rPr>
        <w:t>讲师考试、创业</w:t>
      </w:r>
      <w:r>
        <w:rPr>
          <w:rFonts w:ascii="楷体_GB2312" w:eastAsia="楷体_GB2312" w:hAnsi="楷体_GB2312" w:cs="楷体_GB2312" w:hint="eastAsia"/>
          <w:kern w:val="0"/>
          <w:sz w:val="28"/>
          <w:szCs w:val="28"/>
        </w:rPr>
        <w:lastRenderedPageBreak/>
        <w:t>实训师资证培训，</w:t>
      </w:r>
      <w:r>
        <w:rPr>
          <w:rFonts w:ascii="楷体_GB2312" w:eastAsia="楷体_GB2312" w:hAnsi="楷体_GB2312" w:cs="楷体_GB2312" w:hint="eastAsia"/>
          <w:kern w:val="0"/>
          <w:sz w:val="28"/>
          <w:szCs w:val="28"/>
        </w:rPr>
        <w:t>2</w:t>
      </w:r>
      <w:r>
        <w:rPr>
          <w:rFonts w:ascii="楷体_GB2312" w:eastAsia="楷体_GB2312" w:hAnsi="楷体_GB2312" w:cs="楷体_GB2312" w:hint="eastAsia"/>
          <w:kern w:val="0"/>
          <w:sz w:val="28"/>
          <w:szCs w:val="28"/>
        </w:rPr>
        <w:t>位老师通过国家卫生部的“护理人才通用能力培训项目师资”考核，另有</w:t>
      </w:r>
      <w:r>
        <w:rPr>
          <w:rFonts w:ascii="楷体_GB2312" w:eastAsia="楷体_GB2312" w:hAnsi="楷体_GB2312" w:cs="楷体_GB2312" w:hint="eastAsia"/>
          <w:kern w:val="0"/>
          <w:sz w:val="28"/>
          <w:szCs w:val="28"/>
        </w:rPr>
        <w:t>7</w:t>
      </w:r>
      <w:r>
        <w:rPr>
          <w:rFonts w:ascii="楷体_GB2312" w:eastAsia="楷体_GB2312" w:hAnsi="楷体_GB2312" w:cs="楷体_GB2312" w:hint="eastAsia"/>
          <w:kern w:val="0"/>
          <w:sz w:val="28"/>
          <w:szCs w:val="28"/>
        </w:rPr>
        <w:t>位教师通过</w:t>
      </w:r>
      <w:r>
        <w:rPr>
          <w:rFonts w:ascii="楷体_GB2312" w:eastAsia="楷体_GB2312" w:hAnsi="楷体_GB2312" w:cs="楷体_GB2312" w:hint="eastAsia"/>
          <w:kern w:val="0"/>
          <w:sz w:val="28"/>
          <w:szCs w:val="28"/>
        </w:rPr>
        <w:t>PTT</w:t>
      </w:r>
      <w:r>
        <w:rPr>
          <w:rFonts w:ascii="楷体_GB2312" w:eastAsia="楷体_GB2312" w:hAnsi="楷体_GB2312" w:cs="楷体_GB2312" w:hint="eastAsia"/>
          <w:kern w:val="0"/>
          <w:sz w:val="28"/>
          <w:szCs w:val="28"/>
        </w:rPr>
        <w:t>讲师培训。学院积极鼓励就业工作人员进行独立学院就业工作理论与实践创新，提升科研创新能力，打造学习型、研究型队伍。</w:t>
      </w:r>
    </w:p>
    <w:p w:rsidR="00000000" w:rsidRDefault="00250BDB">
      <w:pPr>
        <w:pStyle w:val="a7"/>
        <w:spacing w:line="480" w:lineRule="auto"/>
        <w:ind w:firstLineChars="0" w:firstLine="0"/>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七、加大创业教育力度，以创业带动就业</w:t>
      </w:r>
    </w:p>
    <w:p w:rsidR="00000000" w:rsidRDefault="00250BDB">
      <w:pPr>
        <w:pStyle w:val="a7"/>
        <w:spacing w:line="480" w:lineRule="auto"/>
        <w:ind w:firstLineChars="0"/>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 xml:space="preserve"> </w:t>
      </w:r>
      <w:r>
        <w:rPr>
          <w:rFonts w:ascii="楷体_GB2312" w:eastAsia="楷体_GB2312" w:hAnsi="楷体_GB2312" w:cs="楷体_GB2312" w:hint="eastAsia"/>
          <w:bCs/>
          <w:sz w:val="28"/>
          <w:szCs w:val="28"/>
        </w:rPr>
        <w:t>学院采取讲座、报告会、培训班等多种形式进行大学生创业教育。先后举办《漫谈挑战杯》、《关于大学生创新创业项目</w:t>
      </w:r>
      <w:r>
        <w:rPr>
          <w:rFonts w:ascii="楷体_GB2312" w:eastAsia="楷体_GB2312" w:hAnsi="楷体_GB2312" w:cs="楷体_GB2312" w:hint="eastAsia"/>
          <w:bCs/>
          <w:sz w:val="28"/>
          <w:szCs w:val="28"/>
        </w:rPr>
        <w:t>的构思和商业模式分析》、《创业者和创业精神》、《漫谈创业路》、《大学生创业政策解说》五场创业培训讲座。成立大学生创新创业学校，举办第一期培训班，结业学员</w:t>
      </w:r>
      <w:r>
        <w:rPr>
          <w:rFonts w:ascii="楷体_GB2312" w:eastAsia="楷体_GB2312" w:hAnsi="楷体_GB2312" w:cs="楷体_GB2312" w:hint="eastAsia"/>
          <w:bCs/>
          <w:sz w:val="28"/>
          <w:szCs w:val="28"/>
        </w:rPr>
        <w:t>122</w:t>
      </w:r>
      <w:r>
        <w:rPr>
          <w:rFonts w:ascii="楷体_GB2312" w:eastAsia="楷体_GB2312" w:hAnsi="楷体_GB2312" w:cs="楷体_GB2312" w:hint="eastAsia"/>
          <w:bCs/>
          <w:sz w:val="28"/>
          <w:szCs w:val="28"/>
        </w:rPr>
        <w:t>人。</w:t>
      </w:r>
    </w:p>
    <w:p w:rsidR="00000000" w:rsidRDefault="00250BDB">
      <w:pPr>
        <w:pStyle w:val="a7"/>
        <w:spacing w:line="480" w:lineRule="auto"/>
        <w:ind w:firstLineChars="0"/>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 xml:space="preserve"> </w:t>
      </w:r>
      <w:r>
        <w:rPr>
          <w:rFonts w:ascii="楷体_GB2312" w:eastAsia="楷体_GB2312" w:hAnsi="楷体_GB2312" w:cs="楷体_GB2312" w:hint="eastAsia"/>
          <w:bCs/>
          <w:sz w:val="28"/>
          <w:szCs w:val="28"/>
        </w:rPr>
        <w:t>引导学生参加各类创业计划大赛，加入</w:t>
      </w:r>
      <w:r>
        <w:rPr>
          <w:rFonts w:ascii="楷体_GB2312" w:eastAsia="楷体_GB2312" w:hAnsi="楷体_GB2312" w:cs="楷体_GB2312" w:hint="eastAsia"/>
          <w:bCs/>
          <w:sz w:val="28"/>
          <w:szCs w:val="28"/>
        </w:rPr>
        <w:t>KAB</w:t>
      </w:r>
      <w:r>
        <w:rPr>
          <w:rFonts w:ascii="楷体_GB2312" w:eastAsia="楷体_GB2312" w:hAnsi="楷体_GB2312" w:cs="楷体_GB2312" w:hint="eastAsia"/>
          <w:bCs/>
          <w:sz w:val="28"/>
          <w:szCs w:val="28"/>
        </w:rPr>
        <w:t>创业俱乐部，搭建创业平台，成立大学生创业孵化中心，鼓励大学生创业。学院采取“一分钟电梯”演讲形式，举办</w:t>
      </w:r>
      <w:r>
        <w:rPr>
          <w:rFonts w:ascii="楷体_GB2312" w:eastAsia="楷体_GB2312" w:hAnsi="楷体_GB2312" w:cs="楷体_GB2312" w:hint="eastAsia"/>
          <w:bCs/>
          <w:sz w:val="28"/>
          <w:szCs w:val="28"/>
        </w:rPr>
        <w:t>2015</w:t>
      </w:r>
      <w:r>
        <w:rPr>
          <w:rFonts w:ascii="楷体_GB2312" w:eastAsia="楷体_GB2312" w:hAnsi="楷体_GB2312" w:cs="楷体_GB2312" w:hint="eastAsia"/>
          <w:bCs/>
          <w:sz w:val="28"/>
          <w:szCs w:val="28"/>
        </w:rPr>
        <w:t>年大学生创新创业大赛，共征集优秀作品</w:t>
      </w:r>
      <w:r>
        <w:rPr>
          <w:rFonts w:ascii="楷体_GB2312" w:eastAsia="楷体_GB2312" w:hAnsi="楷体_GB2312" w:cs="楷体_GB2312" w:hint="eastAsia"/>
          <w:bCs/>
          <w:sz w:val="28"/>
          <w:szCs w:val="28"/>
        </w:rPr>
        <w:t>32</w:t>
      </w:r>
      <w:r>
        <w:rPr>
          <w:rFonts w:ascii="楷体_GB2312" w:eastAsia="楷体_GB2312" w:hAnsi="楷体_GB2312" w:cs="楷体_GB2312" w:hint="eastAsia"/>
          <w:bCs/>
          <w:sz w:val="28"/>
          <w:szCs w:val="28"/>
        </w:rPr>
        <w:t>件，其中</w:t>
      </w:r>
      <w:r>
        <w:rPr>
          <w:rFonts w:ascii="楷体_GB2312" w:eastAsia="楷体_GB2312" w:hAnsi="楷体_GB2312" w:cs="楷体_GB2312" w:hint="eastAsia"/>
          <w:bCs/>
          <w:sz w:val="28"/>
          <w:szCs w:val="28"/>
        </w:rPr>
        <w:t>3</w:t>
      </w:r>
      <w:r>
        <w:rPr>
          <w:rFonts w:ascii="楷体_GB2312" w:eastAsia="楷体_GB2312" w:hAnsi="楷体_GB2312" w:cs="楷体_GB2312" w:hint="eastAsia"/>
          <w:bCs/>
          <w:sz w:val="28"/>
          <w:szCs w:val="28"/>
        </w:rPr>
        <w:t>件作品入选“创青春”全国大学生创业大赛南通大学选拔赛决赛。</w:t>
      </w:r>
      <w:r>
        <w:rPr>
          <w:rFonts w:ascii="楷体_GB2312" w:eastAsia="楷体_GB2312" w:hAnsi="楷体_GB2312" w:cs="楷体_GB2312" w:hint="eastAsia"/>
          <w:bCs/>
          <w:color w:val="000000"/>
          <w:sz w:val="28"/>
          <w:szCs w:val="28"/>
        </w:rPr>
        <w:t>组织学</w:t>
      </w:r>
      <w:r>
        <w:rPr>
          <w:rFonts w:ascii="楷体_GB2312" w:eastAsia="楷体_GB2312" w:hAnsi="楷体_GB2312" w:cs="楷体_GB2312" w:hint="eastAsia"/>
          <w:bCs/>
          <w:sz w:val="28"/>
          <w:szCs w:val="28"/>
        </w:rPr>
        <w:t>生参加江苏省第五届大学生就业创业知识竞赛，有</w:t>
      </w:r>
      <w:r>
        <w:rPr>
          <w:rFonts w:ascii="楷体_GB2312" w:eastAsia="楷体_GB2312" w:hAnsi="楷体_GB2312" w:cs="楷体_GB2312" w:hint="eastAsia"/>
          <w:bCs/>
          <w:sz w:val="28"/>
          <w:szCs w:val="28"/>
        </w:rPr>
        <w:t>20</w:t>
      </w:r>
      <w:r>
        <w:rPr>
          <w:rFonts w:ascii="楷体_GB2312" w:eastAsia="楷体_GB2312" w:hAnsi="楷体_GB2312" w:cs="楷体_GB2312" w:hint="eastAsia"/>
          <w:bCs/>
          <w:sz w:val="28"/>
          <w:szCs w:val="28"/>
        </w:rPr>
        <w:t>名学生荣获优胜奖。</w:t>
      </w: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ind w:left="420"/>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第</w:t>
      </w:r>
      <w:r>
        <w:rPr>
          <w:rFonts w:ascii="楷体_GB2312" w:eastAsia="楷体_GB2312" w:hAnsi="楷体_GB2312" w:cs="楷体_GB2312" w:hint="eastAsia"/>
          <w:b/>
          <w:bCs/>
          <w:sz w:val="36"/>
          <w:szCs w:val="36"/>
        </w:rPr>
        <w:t>三部分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就业相关分析</w:t>
      </w:r>
    </w:p>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b/>
          <w:bCs/>
          <w:sz w:val="32"/>
          <w:szCs w:val="32"/>
        </w:rPr>
        <w:t>一、近三年毕业生就业分析</w:t>
      </w:r>
    </w:p>
    <w:p w:rsidR="00000000" w:rsidRDefault="00250BDB">
      <w:pPr>
        <w:numPr>
          <w:ilvl w:val="0"/>
          <w:numId w:val="6"/>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就业率</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在严峻的就业形势下，学院以加强就业指导服务，拓宽就业渠道，鼓励学生升学出国等方式促进学生就业。近三年，我院毕业生初次就业率依次为</w:t>
      </w:r>
      <w:r>
        <w:rPr>
          <w:rFonts w:ascii="楷体_GB2312" w:eastAsia="楷体_GB2312" w:hAnsi="楷体_GB2312" w:cs="楷体_GB2312" w:hint="eastAsia"/>
          <w:sz w:val="28"/>
          <w:szCs w:val="28"/>
        </w:rPr>
        <w:t>82.48%</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87.42%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87.85%</w:t>
      </w:r>
      <w:r>
        <w:rPr>
          <w:rFonts w:ascii="楷体_GB2312" w:eastAsia="楷体_GB2312" w:hAnsi="楷体_GB2312" w:cs="楷体_GB2312" w:hint="eastAsia"/>
          <w:sz w:val="28"/>
          <w:szCs w:val="28"/>
        </w:rPr>
        <w:t>，年终就业率依次为</w:t>
      </w:r>
      <w:r>
        <w:rPr>
          <w:rFonts w:ascii="楷体_GB2312" w:eastAsia="楷体_GB2312" w:hAnsi="楷体_GB2312" w:cs="楷体_GB2312" w:hint="eastAsia"/>
          <w:sz w:val="28"/>
          <w:szCs w:val="28"/>
        </w:rPr>
        <w:t>98.86%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97.30%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97.92%</w:t>
      </w:r>
      <w:r>
        <w:rPr>
          <w:rFonts w:ascii="楷体_GB2312" w:eastAsia="楷体_GB2312" w:hAnsi="楷体_GB2312" w:cs="楷体_GB2312" w:hint="eastAsia"/>
          <w:sz w:val="28"/>
          <w:szCs w:val="28"/>
        </w:rPr>
        <w:t>，总协议率依次为</w:t>
      </w:r>
      <w:r>
        <w:rPr>
          <w:rFonts w:ascii="楷体_GB2312" w:eastAsia="楷体_GB2312" w:hAnsi="楷体_GB2312" w:cs="楷体_GB2312" w:hint="eastAsia"/>
          <w:sz w:val="28"/>
          <w:szCs w:val="28"/>
        </w:rPr>
        <w:t>82.42%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94.30%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95.34%</w:t>
      </w:r>
      <w:r>
        <w:rPr>
          <w:rFonts w:ascii="楷体_GB2312" w:eastAsia="楷体_GB2312" w:hAnsi="楷体_GB2312" w:cs="楷体_GB2312" w:hint="eastAsia"/>
          <w:sz w:val="28"/>
          <w:szCs w:val="28"/>
        </w:rPr>
        <w:t>。初次就业率逐年提升，年终就业率稳定在</w:t>
      </w:r>
      <w:r>
        <w:rPr>
          <w:rFonts w:ascii="楷体_GB2312" w:eastAsia="楷体_GB2312" w:hAnsi="楷体_GB2312" w:cs="楷体_GB2312" w:hint="eastAsia"/>
          <w:sz w:val="28"/>
          <w:szCs w:val="28"/>
        </w:rPr>
        <w:t>98%</w:t>
      </w:r>
      <w:r>
        <w:rPr>
          <w:rFonts w:ascii="楷体_GB2312" w:eastAsia="楷体_GB2312" w:hAnsi="楷体_GB2312" w:cs="楷体_GB2312" w:hint="eastAsia"/>
          <w:sz w:val="28"/>
          <w:szCs w:val="28"/>
        </w:rPr>
        <w:t>左右（见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3-1</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743200"/>
            <wp:effectExtent l="4445" t="4445" r="14605" b="14605"/>
            <wp:docPr id="2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00000" w:rsidRDefault="00250BDB">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3-1  </w:t>
      </w:r>
      <w:r>
        <w:rPr>
          <w:rFonts w:ascii="楷体_GB2312" w:eastAsia="楷体_GB2312" w:hAnsi="楷体_GB2312" w:cs="楷体_GB2312" w:hint="eastAsia"/>
          <w:b/>
          <w:bCs/>
          <w:sz w:val="28"/>
          <w:szCs w:val="28"/>
        </w:rPr>
        <w:t>近三年毕业生</w:t>
      </w:r>
      <w:r>
        <w:rPr>
          <w:rFonts w:ascii="楷体_GB2312" w:eastAsia="楷体_GB2312" w:hAnsi="楷体_GB2312" w:cs="楷体_GB2312" w:hint="eastAsia"/>
          <w:b/>
          <w:bCs/>
          <w:sz w:val="28"/>
          <w:szCs w:val="28"/>
        </w:rPr>
        <w:t>就业率情况</w:t>
      </w:r>
    </w:p>
    <w:p w:rsidR="00000000" w:rsidRDefault="00250BDB">
      <w:pPr>
        <w:numPr>
          <w:ilvl w:val="0"/>
          <w:numId w:val="7"/>
        </w:numPr>
        <w:spacing w:line="480" w:lineRule="auto"/>
        <w:ind w:left="420"/>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就业流向</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随着社会竞争日趋激烈，就业压力不断增大，在毕业生总数及就业率总体保持相对稳定的情况下，我院毕业生近三年灵活就业率逐年下降，就业质量不断提高（见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3-2</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lastRenderedPageBreak/>
        <w:drawing>
          <wp:inline distT="0" distB="0" distL="0" distR="0">
            <wp:extent cx="4572000" cy="2743200"/>
            <wp:effectExtent l="4445" t="4445" r="14605" b="14605"/>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0000" w:rsidRDefault="00250BDB">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3-2  2013-2015</w:t>
      </w:r>
      <w:r>
        <w:rPr>
          <w:rFonts w:ascii="楷体_GB2312" w:eastAsia="楷体_GB2312" w:hAnsi="楷体_GB2312" w:cs="楷体_GB2312" w:hint="eastAsia"/>
          <w:b/>
          <w:bCs/>
          <w:sz w:val="28"/>
          <w:szCs w:val="28"/>
        </w:rPr>
        <w:t>届毕业生就业流向</w:t>
      </w:r>
    </w:p>
    <w:p w:rsidR="00000000" w:rsidRDefault="00250BDB">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二、用人单位对毕业生的评价</w:t>
      </w:r>
    </w:p>
    <w:p w:rsidR="00000000" w:rsidRDefault="00250BDB">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（一）用人单位对我院毕业生的总体满意度</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调查发现，</w:t>
      </w:r>
      <w:r>
        <w:rPr>
          <w:rFonts w:ascii="楷体_GB2312" w:eastAsia="楷体_GB2312" w:hAnsi="楷体_GB2312" w:cs="楷体_GB2312" w:hint="eastAsia"/>
          <w:sz w:val="28"/>
          <w:szCs w:val="28"/>
        </w:rPr>
        <w:t>94.73%</w:t>
      </w:r>
      <w:r>
        <w:rPr>
          <w:rFonts w:ascii="楷体_GB2312" w:eastAsia="楷体_GB2312" w:hAnsi="楷体_GB2312" w:cs="楷体_GB2312" w:hint="eastAsia"/>
          <w:sz w:val="28"/>
          <w:szCs w:val="28"/>
        </w:rPr>
        <w:t>的用人单位对我院毕业生表示“很满意”、“满意”或“较满意”，可见我院毕业生得到用人单位的充分认可（见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3-3</w:t>
      </w:r>
      <w:r>
        <w:rPr>
          <w:rFonts w:ascii="楷体_GB2312" w:eastAsia="楷体_GB2312" w:hAnsi="楷体_GB2312" w:cs="楷体_GB2312" w:hint="eastAsia"/>
          <w:sz w:val="28"/>
          <w:szCs w:val="28"/>
        </w:rPr>
        <w:t>）。</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267200" cy="2743835"/>
            <wp:effectExtent l="4445" t="4445" r="14605" b="13970"/>
            <wp:docPr id="2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00000" w:rsidRDefault="00250BDB">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3-3  </w:t>
      </w:r>
      <w:r>
        <w:rPr>
          <w:rFonts w:ascii="楷体_GB2312" w:eastAsia="楷体_GB2312" w:hAnsi="楷体_GB2312" w:cs="楷体_GB2312" w:hint="eastAsia"/>
          <w:b/>
          <w:bCs/>
          <w:sz w:val="28"/>
          <w:szCs w:val="28"/>
        </w:rPr>
        <w:t>用人单位对我院毕业生总体满意度</w:t>
      </w:r>
    </w:p>
    <w:p w:rsidR="00000000" w:rsidRDefault="00250BDB">
      <w:pPr>
        <w:spacing w:line="480" w:lineRule="auto"/>
        <w:ind w:left="420"/>
        <w:jc w:val="center"/>
        <w:rPr>
          <w:rFonts w:ascii="楷体_GB2312" w:eastAsia="楷体_GB2312" w:hAnsi="楷体_GB2312" w:cs="楷体_GB2312"/>
          <w:b/>
          <w:bCs/>
          <w:sz w:val="28"/>
          <w:szCs w:val="28"/>
        </w:rPr>
      </w:pPr>
    </w:p>
    <w:p w:rsidR="00000000" w:rsidRDefault="00250BDB">
      <w:pPr>
        <w:spacing w:line="480" w:lineRule="auto"/>
        <w:ind w:left="420"/>
        <w:jc w:val="center"/>
        <w:rPr>
          <w:rFonts w:ascii="楷体_GB2312" w:eastAsia="楷体_GB2312" w:hAnsi="楷体_GB2312" w:cs="楷体_GB2312"/>
          <w:b/>
          <w:bCs/>
          <w:sz w:val="28"/>
          <w:szCs w:val="28"/>
        </w:rPr>
      </w:pPr>
    </w:p>
    <w:p w:rsidR="00000000" w:rsidRDefault="00250BDB">
      <w:pPr>
        <w:numPr>
          <w:ilvl w:val="0"/>
          <w:numId w:val="8"/>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用人单位对我院毕业生素质的评价</w:t>
      </w:r>
    </w:p>
    <w:p w:rsidR="00000000" w:rsidRDefault="00250BDB">
      <w:pPr>
        <w:spacing w:line="480" w:lineRule="auto"/>
        <w:jc w:val="left"/>
        <w:rPr>
          <w:rFonts w:ascii="楷体_GB2312" w:eastAsia="楷体_GB2312" w:hAnsi="楷体_GB2312" w:cs="楷体_GB2312"/>
          <w:bCs/>
          <w:sz w:val="32"/>
          <w:szCs w:val="32"/>
        </w:rPr>
      </w:pPr>
      <w:r>
        <w:rPr>
          <w:rFonts w:ascii="楷体_GB2312" w:eastAsia="楷体_GB2312" w:hAnsi="楷体_GB2312" w:cs="楷体_GB2312" w:hint="eastAsia"/>
          <w:bCs/>
          <w:sz w:val="32"/>
          <w:szCs w:val="32"/>
        </w:rPr>
        <w:t xml:space="preserve">   </w:t>
      </w:r>
      <w:r>
        <w:rPr>
          <w:rFonts w:ascii="楷体_GB2312" w:eastAsia="楷体_GB2312" w:hAnsi="楷体_GB2312" w:cs="楷体_GB2312" w:hint="eastAsia"/>
          <w:bCs/>
          <w:sz w:val="32"/>
          <w:szCs w:val="32"/>
        </w:rPr>
        <w:t>用人单位对我院毕业生素质表示“很满意”和“满意”的比例达</w:t>
      </w:r>
      <w:r>
        <w:rPr>
          <w:rFonts w:ascii="楷体_GB2312" w:eastAsia="楷体_GB2312" w:hAnsi="楷体_GB2312" w:cs="楷体_GB2312" w:hint="eastAsia"/>
          <w:bCs/>
          <w:sz w:val="32"/>
          <w:szCs w:val="32"/>
        </w:rPr>
        <w:t>94%</w:t>
      </w:r>
      <w:r>
        <w:rPr>
          <w:rFonts w:ascii="楷体_GB2312" w:eastAsia="楷体_GB2312" w:hAnsi="楷体_GB2312" w:cs="楷体_GB2312" w:hint="eastAsia"/>
          <w:bCs/>
          <w:sz w:val="32"/>
          <w:szCs w:val="32"/>
        </w:rPr>
        <w:t>以上。其中</w:t>
      </w:r>
      <w:r>
        <w:rPr>
          <w:rFonts w:ascii="楷体_GB2312" w:eastAsia="楷体_GB2312" w:hAnsi="楷体_GB2312" w:cs="楷体_GB2312" w:hint="eastAsia"/>
          <w:bCs/>
          <w:sz w:val="32"/>
          <w:szCs w:val="32"/>
        </w:rPr>
        <w:t>,</w:t>
      </w:r>
      <w:r>
        <w:rPr>
          <w:rFonts w:ascii="楷体_GB2312" w:eastAsia="楷体_GB2312" w:hAnsi="楷体_GB2312" w:cs="楷体_GB2312" w:hint="eastAsia"/>
          <w:bCs/>
          <w:sz w:val="32"/>
          <w:szCs w:val="32"/>
        </w:rPr>
        <w:t>对综合素质和职业素质评价满意度达</w:t>
      </w:r>
      <w:r>
        <w:rPr>
          <w:rFonts w:ascii="楷体_GB2312" w:eastAsia="楷体_GB2312" w:hAnsi="楷体_GB2312" w:cs="楷体_GB2312" w:hint="eastAsia"/>
          <w:bCs/>
          <w:sz w:val="32"/>
          <w:szCs w:val="32"/>
        </w:rPr>
        <w:t xml:space="preserve">100% </w:t>
      </w:r>
      <w:r>
        <w:rPr>
          <w:rFonts w:ascii="楷体_GB2312" w:eastAsia="楷体_GB2312" w:hAnsi="楷体_GB2312" w:cs="楷体_GB2312" w:hint="eastAsia"/>
          <w:bCs/>
          <w:sz w:val="32"/>
          <w:szCs w:val="32"/>
        </w:rPr>
        <w:t>（见</w:t>
      </w:r>
      <w:r>
        <w:rPr>
          <w:rFonts w:ascii="楷体_GB2312" w:eastAsia="楷体_GB2312" w:hAnsi="楷体_GB2312" w:cs="楷体_GB2312" w:hint="eastAsia"/>
          <w:b/>
          <w:bCs/>
          <w:sz w:val="32"/>
          <w:szCs w:val="32"/>
        </w:rPr>
        <w:t>表</w:t>
      </w:r>
      <w:r>
        <w:rPr>
          <w:rFonts w:ascii="楷体_GB2312" w:eastAsia="楷体_GB2312" w:hAnsi="楷体_GB2312" w:cs="楷体_GB2312" w:hint="eastAsia"/>
          <w:b/>
          <w:bCs/>
          <w:sz w:val="32"/>
          <w:szCs w:val="32"/>
        </w:rPr>
        <w:t>3-1</w:t>
      </w:r>
      <w:r>
        <w:rPr>
          <w:rFonts w:ascii="楷体_GB2312" w:eastAsia="楷体_GB2312" w:hAnsi="楷体_GB2312" w:cs="楷体_GB2312" w:hint="eastAsia"/>
          <w:bCs/>
          <w:sz w:val="32"/>
          <w:szCs w:val="32"/>
        </w:rPr>
        <w:t>）。</w:t>
      </w:r>
    </w:p>
    <w:p w:rsidR="00000000" w:rsidRDefault="00250BDB">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3-1</w:t>
      </w:r>
      <w:r>
        <w:rPr>
          <w:rFonts w:ascii="楷体_GB2312" w:eastAsia="楷体_GB2312" w:hAnsi="楷体_GB2312" w:cs="楷体_GB2312" w:hint="eastAsia"/>
          <w:b/>
          <w:bCs/>
          <w:sz w:val="28"/>
          <w:szCs w:val="28"/>
        </w:rPr>
        <w:t>用人单位对我院毕业生素质满意度统计</w:t>
      </w:r>
    </w:p>
    <w:tbl>
      <w:tblPr>
        <w:tblW w:w="0" w:type="auto"/>
        <w:tblInd w:w="0" w:type="dxa"/>
        <w:tblBorders>
          <w:top w:val="single" w:sz="8" w:space="0" w:color="4F81BD"/>
          <w:bottom w:val="single" w:sz="8" w:space="0" w:color="4F81BD"/>
        </w:tblBorders>
        <w:tblLayout w:type="fixed"/>
        <w:tblLook w:val="0000"/>
      </w:tblPr>
      <w:tblGrid>
        <w:gridCol w:w="1704"/>
        <w:gridCol w:w="1704"/>
        <w:gridCol w:w="1704"/>
        <w:gridCol w:w="1705"/>
        <w:gridCol w:w="1705"/>
      </w:tblGrid>
      <w:tr w:rsidR="00000000">
        <w:tc>
          <w:tcPr>
            <w:tcW w:w="1704" w:type="dxa"/>
          </w:tcPr>
          <w:p w:rsidR="00000000" w:rsidRDefault="00250BDB">
            <w:pPr>
              <w:widowControl/>
              <w:jc w:val="center"/>
              <w:textAlignment w:val="top"/>
              <w:rPr>
                <w:rFonts w:ascii="楷体_GB2312" w:eastAsia="楷体_GB2312" w:hAnsi="楷体_GB2312" w:cs="楷体_GB2312"/>
                <w:b/>
                <w:bCs/>
                <w:sz w:val="28"/>
                <w:szCs w:val="28"/>
              </w:rPr>
            </w:pPr>
            <w:bookmarkStart w:id="0" w:name="OLE_LINK1" w:colFirst="0" w:colLast="4"/>
            <w:r>
              <w:rPr>
                <w:rFonts w:ascii="楷体_GB2312" w:eastAsia="楷体_GB2312" w:hAnsi="宋体" w:cs="楷体_GB2312" w:hint="eastAsia"/>
                <w:b/>
                <w:kern w:val="0"/>
                <w:sz w:val="28"/>
                <w:szCs w:val="28"/>
                <w:lang/>
              </w:rPr>
              <w:t>项目</w:t>
            </w:r>
          </w:p>
        </w:tc>
        <w:tc>
          <w:tcPr>
            <w:tcW w:w="1704"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很满意</w:t>
            </w:r>
          </w:p>
        </w:tc>
        <w:tc>
          <w:tcPr>
            <w:tcW w:w="1704"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满意</w:t>
            </w:r>
          </w:p>
        </w:tc>
        <w:tc>
          <w:tcPr>
            <w:tcW w:w="1705"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基本满意</w:t>
            </w:r>
          </w:p>
        </w:tc>
        <w:tc>
          <w:tcPr>
            <w:tcW w:w="1705"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不满意</w:t>
            </w:r>
          </w:p>
        </w:tc>
      </w:tr>
      <w:tr w:rsidR="00000000">
        <w:tc>
          <w:tcPr>
            <w:tcW w:w="1704"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综合素质</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57.14%</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42.86%</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思想素质</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40.00%</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57.20%</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2.80%</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文化素质</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40.</w:t>
            </w:r>
            <w:r>
              <w:rPr>
                <w:rFonts w:ascii="楷体_GB2312" w:eastAsia="楷体_GB2312" w:hAnsi="宋体" w:cs="楷体_GB2312" w:hint="eastAsia"/>
                <w:kern w:val="0"/>
                <w:sz w:val="28"/>
                <w:szCs w:val="28"/>
                <w:lang/>
              </w:rPr>
              <w:t>01%</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54.29%</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5.70%</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专业素质</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50.00%</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44.30%</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5.70%</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身心素质</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51.43%</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45.77%</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2.80%</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250BDB">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职业素质</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54.29%</w:t>
            </w:r>
          </w:p>
        </w:tc>
        <w:tc>
          <w:tcPr>
            <w:tcW w:w="1704"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45.71%</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c>
          <w:tcPr>
            <w:tcW w:w="1705" w:type="dxa"/>
          </w:tcPr>
          <w:p w:rsidR="00000000" w:rsidRDefault="00250BDB">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bl>
    <w:bookmarkEnd w:id="0"/>
    <w:p w:rsidR="00000000" w:rsidRDefault="00250BDB">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（三）用人单位对毕业生职业相关能力的评价</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用人单位对于我院毕业生</w:t>
      </w:r>
      <w:r>
        <w:rPr>
          <w:rFonts w:ascii="楷体_GB2312" w:eastAsia="楷体_GB2312" w:hAnsi="楷体_GB2312" w:cs="楷体_GB2312" w:hint="eastAsia"/>
          <w:bCs/>
          <w:sz w:val="32"/>
          <w:szCs w:val="32"/>
        </w:rPr>
        <w:t>职</w:t>
      </w:r>
      <w:r>
        <w:rPr>
          <w:rFonts w:ascii="楷体_GB2312" w:eastAsia="楷体_GB2312" w:hAnsi="楷体_GB2312" w:cs="楷体_GB2312" w:hint="eastAsia"/>
          <w:sz w:val="28"/>
          <w:szCs w:val="28"/>
        </w:rPr>
        <w:t>业相关能力的认可度由高到低依次为：灵活应变能力、合作与协调能力、实践能力、管理能力、计算机水平、创新能力、外语水平、学习能力（见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3-4</w:t>
      </w:r>
      <w:r>
        <w:rPr>
          <w:rFonts w:ascii="楷体_GB2312" w:eastAsia="楷体_GB2312" w:hAnsi="楷体_GB2312" w:cs="楷体_GB2312" w:hint="eastAsia"/>
          <w:sz w:val="28"/>
          <w:szCs w:val="28"/>
        </w:rPr>
        <w:t>）。</w:t>
      </w:r>
    </w:p>
    <w:p w:rsidR="00000000" w:rsidRDefault="00F86454">
      <w:pPr>
        <w:spacing w:line="480" w:lineRule="auto"/>
        <w:ind w:firstLineChars="200" w:firstLine="420"/>
        <w:jc w:val="center"/>
        <w:rPr>
          <w:rFonts w:ascii="楷体_GB2312" w:eastAsia="楷体_GB2312" w:hAnsi="楷体_GB2312" w:cs="楷体_GB2312"/>
          <w:sz w:val="28"/>
          <w:szCs w:val="28"/>
        </w:rPr>
      </w:pPr>
      <w:r>
        <w:rPr>
          <w:noProof/>
        </w:rPr>
        <w:lastRenderedPageBreak/>
        <w:drawing>
          <wp:inline distT="0" distB="0" distL="0" distR="0">
            <wp:extent cx="5104765" cy="2743835"/>
            <wp:effectExtent l="4445" t="4445" r="15240" b="13970"/>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00000" w:rsidRDefault="00250BDB">
      <w:pPr>
        <w:spacing w:line="480" w:lineRule="auto"/>
        <w:ind w:left="420"/>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3-4  </w:t>
      </w:r>
      <w:r>
        <w:rPr>
          <w:rFonts w:ascii="楷体_GB2312" w:eastAsia="楷体_GB2312" w:hAnsi="楷体_GB2312" w:cs="楷体_GB2312" w:hint="eastAsia"/>
          <w:b/>
          <w:bCs/>
          <w:sz w:val="28"/>
          <w:szCs w:val="28"/>
        </w:rPr>
        <w:t>用人单位对我院毕业生职业相关能力的认可度</w:t>
      </w: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第四部分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就业对教育教学的反馈</w:t>
      </w:r>
    </w:p>
    <w:p w:rsidR="00000000" w:rsidRDefault="00250BDB">
      <w:pPr>
        <w:autoSpaceDE w:val="0"/>
        <w:autoSpaceDN w:val="0"/>
        <w:adjustRightInd w:val="0"/>
        <w:spacing w:line="520" w:lineRule="exact"/>
        <w:ind w:firstLineChars="200" w:firstLine="56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为建立和完善毕业生及其家长对人才培养的反馈机制，学院向应届毕业生及其家长发放调查问卷，了解他们对就业指导服务和人才培养工作的评价，以及对学院的满意度。</w:t>
      </w:r>
    </w:p>
    <w:p w:rsidR="00000000" w:rsidRDefault="00250BDB">
      <w:pPr>
        <w:autoSpaceDE w:val="0"/>
        <w:autoSpaceDN w:val="0"/>
        <w:adjustRightInd w:val="0"/>
        <w:spacing w:line="520" w:lineRule="exact"/>
        <w:jc w:val="left"/>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一、对学院就业指导服务的反馈</w:t>
      </w:r>
    </w:p>
    <w:p w:rsidR="00000000" w:rsidRDefault="00250BDB">
      <w:pPr>
        <w:autoSpaceDE w:val="0"/>
        <w:autoSpaceDN w:val="0"/>
        <w:adjustRightInd w:val="0"/>
        <w:spacing w:line="520" w:lineRule="exact"/>
        <w:jc w:val="left"/>
        <w:rPr>
          <w:rFonts w:ascii="楷体_GB2312" w:eastAsia="楷体_GB2312" w:hAnsi="楷体_GB2312" w:cs="楷体_GB2312"/>
          <w:b/>
          <w:kern w:val="0"/>
          <w:sz w:val="32"/>
          <w:szCs w:val="32"/>
        </w:rPr>
      </w:pPr>
      <w:r>
        <w:rPr>
          <w:rFonts w:ascii="楷体_GB2312" w:eastAsia="楷体_GB2312" w:hAnsi="楷体_GB2312" w:cs="楷体_GB2312" w:hint="eastAsia"/>
          <w:b/>
          <w:kern w:val="0"/>
          <w:sz w:val="32"/>
          <w:szCs w:val="32"/>
        </w:rPr>
        <w:t>（一）就业指导服务满意度</w:t>
      </w:r>
    </w:p>
    <w:p w:rsidR="00000000" w:rsidRDefault="00250BDB">
      <w:pPr>
        <w:autoSpaceDE w:val="0"/>
        <w:autoSpaceDN w:val="0"/>
        <w:adjustRightInd w:val="0"/>
        <w:spacing w:line="52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毕业生对我院就业工作表示“非常满意”和“满意”的达</w:t>
      </w:r>
      <w:r>
        <w:rPr>
          <w:rFonts w:ascii="楷体_GB2312" w:eastAsia="楷体_GB2312" w:hAnsi="楷体_GB2312" w:cs="楷体_GB2312" w:hint="eastAsia"/>
          <w:sz w:val="28"/>
          <w:szCs w:val="28"/>
        </w:rPr>
        <w:t>85%</w:t>
      </w:r>
      <w:r>
        <w:rPr>
          <w:rFonts w:ascii="楷体_GB2312" w:eastAsia="楷体_GB2312" w:hAnsi="楷体_GB2312" w:cs="楷体_GB2312" w:hint="eastAsia"/>
          <w:sz w:val="28"/>
          <w:szCs w:val="28"/>
        </w:rPr>
        <w:t>以上，按满意度从高到低排序依次为</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毕业生就业工作受到的重视程度（</w:t>
      </w:r>
      <w:r>
        <w:rPr>
          <w:rFonts w:ascii="楷体_GB2312" w:eastAsia="楷体_GB2312" w:hAnsi="楷体_GB2312" w:cs="楷体_GB2312" w:hint="eastAsia"/>
          <w:sz w:val="28"/>
          <w:szCs w:val="28"/>
        </w:rPr>
        <w:t>96%</w:t>
      </w:r>
      <w:r>
        <w:rPr>
          <w:rFonts w:ascii="楷体_GB2312" w:eastAsia="楷体_GB2312" w:hAnsi="楷体_GB2312" w:cs="楷体_GB2312" w:hint="eastAsia"/>
          <w:sz w:val="28"/>
          <w:szCs w:val="28"/>
        </w:rPr>
        <w:t>），就业指导课的授课内容（</w:t>
      </w:r>
      <w:r>
        <w:rPr>
          <w:rFonts w:ascii="楷体_GB2312" w:eastAsia="楷体_GB2312" w:hAnsi="楷体_GB2312" w:cs="楷体_GB2312" w:hint="eastAsia"/>
          <w:sz w:val="28"/>
          <w:szCs w:val="28"/>
        </w:rPr>
        <w:t>95%</w:t>
      </w:r>
      <w:r>
        <w:rPr>
          <w:rFonts w:ascii="楷体_GB2312" w:eastAsia="楷体_GB2312" w:hAnsi="楷体_GB2312" w:cs="楷体_GB2312" w:hint="eastAsia"/>
          <w:sz w:val="28"/>
          <w:szCs w:val="28"/>
        </w:rPr>
        <w:t>），就业信息的收集和发布工作（</w:t>
      </w:r>
      <w:r>
        <w:rPr>
          <w:rFonts w:ascii="楷体_GB2312" w:eastAsia="楷体_GB2312" w:hAnsi="楷体_GB2312" w:cs="楷体_GB2312" w:hint="eastAsia"/>
          <w:sz w:val="28"/>
          <w:szCs w:val="28"/>
        </w:rPr>
        <w:t>94%</w:t>
      </w:r>
      <w:r>
        <w:rPr>
          <w:rFonts w:ascii="楷体_GB2312" w:eastAsia="楷体_GB2312" w:hAnsi="楷体_GB2312" w:cs="楷体_GB2312" w:hint="eastAsia"/>
          <w:sz w:val="28"/>
          <w:szCs w:val="28"/>
        </w:rPr>
        <w:t>），就业</w:t>
      </w:r>
      <w:r>
        <w:rPr>
          <w:rFonts w:ascii="楷体_GB2312" w:eastAsia="楷体_GB2312" w:hAnsi="楷体_GB2312" w:cs="楷体_GB2312" w:hint="eastAsia"/>
          <w:sz w:val="28"/>
          <w:szCs w:val="28"/>
        </w:rPr>
        <w:t>网站的内容（</w:t>
      </w:r>
      <w:r>
        <w:rPr>
          <w:rFonts w:ascii="楷体_GB2312" w:eastAsia="楷体_GB2312" w:hAnsi="楷体_GB2312" w:cs="楷体_GB2312" w:hint="eastAsia"/>
          <w:sz w:val="28"/>
          <w:szCs w:val="28"/>
        </w:rPr>
        <w:t>92%</w:t>
      </w:r>
      <w:r>
        <w:rPr>
          <w:rFonts w:ascii="楷体_GB2312" w:eastAsia="楷体_GB2312" w:hAnsi="楷体_GB2312" w:cs="楷体_GB2312" w:hint="eastAsia"/>
          <w:sz w:val="28"/>
          <w:szCs w:val="28"/>
        </w:rPr>
        <w:t>），举行的各类就业招聘活动（</w:t>
      </w:r>
      <w:r>
        <w:rPr>
          <w:rFonts w:ascii="楷体_GB2312" w:eastAsia="楷体_GB2312" w:hAnsi="楷体_GB2312" w:cs="楷体_GB2312" w:hint="eastAsia"/>
          <w:sz w:val="28"/>
          <w:szCs w:val="28"/>
        </w:rPr>
        <w:t>91%</w:t>
      </w:r>
      <w:r>
        <w:rPr>
          <w:rFonts w:ascii="楷体_GB2312" w:eastAsia="楷体_GB2312" w:hAnsi="楷体_GB2312" w:cs="楷体_GB2312" w:hint="eastAsia"/>
          <w:sz w:val="28"/>
          <w:szCs w:val="28"/>
        </w:rPr>
        <w:t>），当前就业政策宣传力度（</w:t>
      </w:r>
      <w:r>
        <w:rPr>
          <w:rFonts w:ascii="楷体_GB2312" w:eastAsia="楷体_GB2312" w:hAnsi="楷体_GB2312" w:cs="楷体_GB2312" w:hint="eastAsia"/>
          <w:sz w:val="28"/>
          <w:szCs w:val="28"/>
        </w:rPr>
        <w:t>90%</w:t>
      </w:r>
      <w:r>
        <w:rPr>
          <w:rFonts w:ascii="楷体_GB2312" w:eastAsia="楷体_GB2312" w:hAnsi="楷体_GB2312" w:cs="楷体_GB2312" w:hint="eastAsia"/>
          <w:sz w:val="28"/>
          <w:szCs w:val="28"/>
        </w:rPr>
        <w:t>），就业指导工作人员提供的服务（</w:t>
      </w:r>
      <w:r>
        <w:rPr>
          <w:rFonts w:ascii="楷体_GB2312" w:eastAsia="楷体_GB2312" w:hAnsi="楷体_GB2312" w:cs="楷体_GB2312" w:hint="eastAsia"/>
          <w:sz w:val="28"/>
          <w:szCs w:val="28"/>
        </w:rPr>
        <w:t>89%</w:t>
      </w:r>
      <w:r>
        <w:rPr>
          <w:rFonts w:ascii="楷体_GB2312" w:eastAsia="楷体_GB2312" w:hAnsi="楷体_GB2312" w:cs="楷体_GB2312" w:hint="eastAsia"/>
          <w:sz w:val="28"/>
          <w:szCs w:val="28"/>
        </w:rPr>
        <w:t>），与企业间的交流合作工作（</w:t>
      </w:r>
      <w:r>
        <w:rPr>
          <w:rFonts w:ascii="楷体_GB2312" w:eastAsia="楷体_GB2312" w:hAnsi="楷体_GB2312" w:cs="楷体_GB2312" w:hint="eastAsia"/>
          <w:sz w:val="28"/>
          <w:szCs w:val="28"/>
        </w:rPr>
        <w:t>85%</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4-1</w:t>
      </w:r>
      <w:r>
        <w:rPr>
          <w:rFonts w:ascii="楷体_GB2312" w:eastAsia="楷体_GB2312" w:hAnsi="楷体_GB2312" w:cs="楷体_GB2312" w:hint="eastAsia"/>
          <w:sz w:val="28"/>
          <w:szCs w:val="28"/>
        </w:rPr>
        <w:t>）。</w:t>
      </w:r>
    </w:p>
    <w:p w:rsidR="00000000" w:rsidRDefault="00F86454">
      <w:pPr>
        <w:autoSpaceDE w:val="0"/>
        <w:autoSpaceDN w:val="0"/>
        <w:adjustRightInd w:val="0"/>
        <w:spacing w:line="480" w:lineRule="auto"/>
        <w:jc w:val="center"/>
        <w:rPr>
          <w:rFonts w:ascii="楷体_GB2312" w:eastAsia="楷体_GB2312" w:hAnsi="楷体_GB2312" w:cs="楷体_GB2312" w:hint="eastAsia"/>
          <w:b/>
          <w:bCs/>
          <w:sz w:val="28"/>
          <w:szCs w:val="28"/>
        </w:rPr>
      </w:pPr>
      <w:r>
        <w:rPr>
          <w:noProof/>
        </w:rPr>
        <w:drawing>
          <wp:inline distT="0" distB="0" distL="0" distR="0">
            <wp:extent cx="4572000" cy="3522980"/>
            <wp:effectExtent l="4445" t="4445" r="14605" b="15875"/>
            <wp:docPr id="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00000" w:rsidRDefault="00250BDB">
      <w:pPr>
        <w:spacing w:line="480" w:lineRule="auto"/>
        <w:ind w:left="420"/>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4-1  2015</w:t>
      </w:r>
      <w:r>
        <w:rPr>
          <w:rFonts w:ascii="楷体_GB2312" w:eastAsia="楷体_GB2312" w:hAnsi="楷体_GB2312" w:cs="楷体_GB2312" w:hint="eastAsia"/>
          <w:b/>
          <w:bCs/>
          <w:sz w:val="28"/>
          <w:szCs w:val="28"/>
        </w:rPr>
        <w:t>届毕业生对就业指导服务满意度</w:t>
      </w:r>
    </w:p>
    <w:p w:rsidR="00000000" w:rsidRDefault="00250BDB">
      <w:pPr>
        <w:numPr>
          <w:ilvl w:val="0"/>
          <w:numId w:val="9"/>
        </w:numPr>
        <w:autoSpaceDE w:val="0"/>
        <w:autoSpaceDN w:val="0"/>
        <w:adjustRightInd w:val="0"/>
        <w:spacing w:line="480" w:lineRule="auto"/>
        <w:jc w:val="left"/>
        <w:rPr>
          <w:rFonts w:ascii="楷体_GB2312" w:eastAsia="楷体_GB2312" w:hAnsi="楷体_GB2312" w:cs="楷体_GB2312"/>
          <w:b/>
          <w:kern w:val="0"/>
          <w:sz w:val="32"/>
          <w:szCs w:val="32"/>
        </w:rPr>
      </w:pPr>
      <w:r>
        <w:rPr>
          <w:rFonts w:ascii="楷体_GB2312" w:eastAsia="楷体_GB2312" w:hAnsi="楷体_GB2312" w:cs="楷体_GB2312" w:hint="eastAsia"/>
          <w:b/>
          <w:kern w:val="0"/>
          <w:sz w:val="32"/>
          <w:szCs w:val="32"/>
        </w:rPr>
        <w:t>就业指导服务需要改进的方面</w:t>
      </w:r>
    </w:p>
    <w:p w:rsidR="00000000" w:rsidRDefault="00250BDB">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毕业生对我院进一步加强和改进就业指导工作提出的意见和建</w:t>
      </w:r>
      <w:r>
        <w:rPr>
          <w:rFonts w:ascii="楷体_GB2312" w:eastAsia="楷体_GB2312" w:hAnsi="楷体_GB2312" w:cs="楷体_GB2312" w:hint="eastAsia"/>
          <w:sz w:val="28"/>
          <w:szCs w:val="28"/>
        </w:rPr>
        <w:lastRenderedPageBreak/>
        <w:t>议主要有：</w:t>
      </w:r>
    </w:p>
    <w:p w:rsidR="00000000" w:rsidRDefault="00250BDB">
      <w:pPr>
        <w:numPr>
          <w:ilvl w:val="0"/>
          <w:numId w:val="10"/>
        </w:numPr>
        <w:tabs>
          <w:tab w:val="left" w:pos="420"/>
        </w:tabs>
        <w:spacing w:line="480" w:lineRule="auto"/>
        <w:ind w:left="0" w:firstLine="3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增加面试技巧的培训和模拟演练。</w:t>
      </w:r>
    </w:p>
    <w:p w:rsidR="00000000" w:rsidRDefault="00250BDB">
      <w:pPr>
        <w:numPr>
          <w:ilvl w:val="0"/>
          <w:numId w:val="10"/>
        </w:numPr>
        <w:tabs>
          <w:tab w:val="left" w:pos="420"/>
        </w:tabs>
        <w:spacing w:line="480" w:lineRule="auto"/>
        <w:ind w:left="0" w:firstLine="3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可以归类、区别不同需求的就业信息，提供实习岗位。</w:t>
      </w:r>
    </w:p>
    <w:p w:rsidR="00000000" w:rsidRDefault="00250BDB">
      <w:pPr>
        <w:numPr>
          <w:ilvl w:val="0"/>
          <w:numId w:val="10"/>
        </w:numPr>
        <w:tabs>
          <w:tab w:val="left" w:pos="420"/>
        </w:tabs>
        <w:spacing w:line="480" w:lineRule="auto"/>
        <w:ind w:left="0" w:firstLine="3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重视培养学生的社会实践能力。</w:t>
      </w:r>
    </w:p>
    <w:p w:rsidR="00000000" w:rsidRDefault="00250BDB">
      <w:pPr>
        <w:numPr>
          <w:ilvl w:val="0"/>
          <w:numId w:val="10"/>
        </w:numPr>
        <w:tabs>
          <w:tab w:val="left" w:pos="420"/>
        </w:tabs>
        <w:spacing w:line="480" w:lineRule="auto"/>
        <w:ind w:left="0" w:firstLine="3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希望与更多优秀的单位建立合作关系，为大学生提供更为广泛的就业机会。</w:t>
      </w:r>
    </w:p>
    <w:p w:rsidR="00000000" w:rsidRDefault="00250BDB">
      <w:pPr>
        <w:numPr>
          <w:ilvl w:val="0"/>
          <w:numId w:val="10"/>
        </w:numPr>
        <w:tabs>
          <w:tab w:val="left" w:pos="420"/>
        </w:tabs>
        <w:spacing w:line="480" w:lineRule="auto"/>
        <w:ind w:left="0" w:firstLine="3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学校应主动与企业的人事部门挂钩以需定培。</w:t>
      </w:r>
    </w:p>
    <w:p w:rsidR="00000000" w:rsidRDefault="00250BDB">
      <w:pPr>
        <w:numPr>
          <w:ilvl w:val="0"/>
          <w:numId w:val="10"/>
        </w:numPr>
        <w:tabs>
          <w:tab w:val="left" w:pos="420"/>
        </w:tabs>
        <w:spacing w:line="480" w:lineRule="auto"/>
        <w:ind w:left="0" w:firstLine="3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加强职业教育，培养新型应用型人才。</w:t>
      </w:r>
    </w:p>
    <w:p w:rsidR="00000000" w:rsidRDefault="00250BDB">
      <w:pPr>
        <w:numPr>
          <w:ilvl w:val="0"/>
          <w:numId w:val="10"/>
        </w:numPr>
        <w:tabs>
          <w:tab w:val="left" w:pos="420"/>
        </w:tabs>
        <w:spacing w:line="480" w:lineRule="auto"/>
        <w:ind w:left="0" w:firstLine="360"/>
        <w:rPr>
          <w:rFonts w:ascii="楷体_GB2312" w:eastAsia="楷体_GB2312" w:hAnsi="楷体_GB2312" w:cs="楷体_GB2312"/>
          <w:sz w:val="28"/>
          <w:szCs w:val="28"/>
        </w:rPr>
      </w:pPr>
      <w:r>
        <w:rPr>
          <w:rFonts w:ascii="楷体_GB2312" w:eastAsia="楷体_GB2312" w:hAnsi="楷体_GB2312" w:cs="楷体_GB2312" w:hint="eastAsia"/>
          <w:sz w:val="28"/>
          <w:szCs w:val="28"/>
        </w:rPr>
        <w:t>在就业期间希望学校与实习医院多交流、多沟通，多给学生就业准备的时间。</w:t>
      </w:r>
    </w:p>
    <w:p w:rsidR="00000000" w:rsidRDefault="00250BDB">
      <w:pPr>
        <w:numPr>
          <w:ilvl w:val="0"/>
          <w:numId w:val="10"/>
        </w:numPr>
        <w:tabs>
          <w:tab w:val="left" w:pos="420"/>
        </w:tabs>
        <w:spacing w:line="480" w:lineRule="auto"/>
        <w:ind w:left="0" w:firstLine="3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为在校生自主创业提供更多机会。</w:t>
      </w:r>
    </w:p>
    <w:p w:rsidR="00000000" w:rsidRDefault="00250BDB">
      <w:pPr>
        <w:numPr>
          <w:ilvl w:val="0"/>
          <w:numId w:val="11"/>
        </w:numPr>
        <w:spacing w:line="480" w:lineRule="auto"/>
        <w:jc w:val="lef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对学院人才培养工作的反馈</w:t>
      </w:r>
    </w:p>
    <w:p w:rsidR="00000000" w:rsidRDefault="00250BDB">
      <w:pPr>
        <w:spacing w:line="480" w:lineRule="auto"/>
        <w:jc w:val="left"/>
        <w:rPr>
          <w:rFonts w:ascii="楷体_GB2312" w:eastAsia="楷体_GB2312" w:hAnsi="楷体_GB2312" w:cs="楷体_GB2312" w:hint="eastAsia"/>
          <w:b/>
          <w:sz w:val="32"/>
          <w:szCs w:val="32"/>
        </w:rPr>
      </w:pP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sz w:val="32"/>
          <w:szCs w:val="32"/>
        </w:rPr>
        <w:t>（一）对专业设置和教学条件的反馈</w:t>
      </w:r>
    </w:p>
    <w:p w:rsidR="00000000" w:rsidRDefault="00250BDB">
      <w:pPr>
        <w:spacing w:line="480" w:lineRule="auto"/>
        <w:ind w:firstLine="480"/>
        <w:rPr>
          <w:rFonts w:ascii="楷体_GB2312" w:eastAsia="楷体_GB2312" w:hAnsi="楷体_GB2312" w:cs="楷体_GB2312" w:hint="eastAsia"/>
          <w:b/>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学生对学院专业设置和教学条件都做出了“非常满意”或“比较满意”的评价。其中，对专业设置表示“非常满意”的占</w:t>
      </w:r>
      <w:r>
        <w:rPr>
          <w:rFonts w:ascii="楷体_GB2312" w:eastAsia="楷体_GB2312" w:hAnsi="楷体_GB2312" w:cs="楷体_GB2312" w:hint="eastAsia"/>
          <w:sz w:val="28"/>
          <w:szCs w:val="28"/>
        </w:rPr>
        <w:t>90.6%</w:t>
      </w:r>
      <w:r>
        <w:rPr>
          <w:rFonts w:ascii="楷体_GB2312" w:eastAsia="楷体_GB2312" w:hAnsi="楷体_GB2312" w:cs="楷体_GB2312" w:hint="eastAsia"/>
          <w:sz w:val="28"/>
          <w:szCs w:val="28"/>
        </w:rPr>
        <w:t>，表示“比较满意”的占</w:t>
      </w:r>
      <w:r>
        <w:rPr>
          <w:rFonts w:ascii="楷体_GB2312" w:eastAsia="楷体_GB2312" w:hAnsi="楷体_GB2312" w:cs="楷体_GB2312" w:hint="eastAsia"/>
          <w:sz w:val="28"/>
          <w:szCs w:val="28"/>
        </w:rPr>
        <w:t>9.4%</w:t>
      </w:r>
      <w:r>
        <w:rPr>
          <w:rFonts w:ascii="楷体_GB2312" w:eastAsia="楷体_GB2312" w:hAnsi="楷体_GB2312" w:cs="楷体_GB2312" w:hint="eastAsia"/>
          <w:sz w:val="28"/>
          <w:szCs w:val="28"/>
        </w:rPr>
        <w:t>；对教学条件表示“非常满意”的占</w:t>
      </w:r>
      <w:r>
        <w:rPr>
          <w:rFonts w:ascii="楷体_GB2312" w:eastAsia="楷体_GB2312" w:hAnsi="楷体_GB2312" w:cs="楷体_GB2312" w:hint="eastAsia"/>
          <w:sz w:val="28"/>
          <w:szCs w:val="28"/>
        </w:rPr>
        <w:t>94.1%</w:t>
      </w:r>
      <w:r>
        <w:rPr>
          <w:rFonts w:ascii="楷体_GB2312" w:eastAsia="楷体_GB2312" w:hAnsi="楷体_GB2312" w:cs="楷体_GB2312" w:hint="eastAsia"/>
          <w:sz w:val="28"/>
          <w:szCs w:val="28"/>
        </w:rPr>
        <w:t>，表示“比</w:t>
      </w:r>
      <w:r>
        <w:rPr>
          <w:rFonts w:ascii="楷体_GB2312" w:eastAsia="楷体_GB2312" w:hAnsi="楷体_GB2312" w:cs="楷体_GB2312" w:hint="eastAsia"/>
          <w:sz w:val="28"/>
          <w:szCs w:val="28"/>
        </w:rPr>
        <w:t>较满意”的占</w:t>
      </w:r>
      <w:r>
        <w:rPr>
          <w:rFonts w:ascii="楷体_GB2312" w:eastAsia="楷体_GB2312" w:hAnsi="楷体_GB2312" w:cs="楷体_GB2312" w:hint="eastAsia"/>
          <w:sz w:val="28"/>
          <w:szCs w:val="28"/>
        </w:rPr>
        <w:t>5.9%</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4-1</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250BDB">
      <w:pPr>
        <w:spacing w:line="480" w:lineRule="auto"/>
        <w:jc w:val="center"/>
        <w:rPr>
          <w:rFonts w:ascii="楷体_GB2312" w:eastAsia="楷体_GB2312" w:hAnsi="楷体_GB2312" w:cs="楷体_GB2312" w:hint="eastAsia"/>
          <w:b/>
          <w:sz w:val="28"/>
          <w:szCs w:val="28"/>
        </w:rPr>
      </w:pPr>
    </w:p>
    <w:p w:rsidR="00000000" w:rsidRDefault="00250BDB">
      <w:pPr>
        <w:spacing w:line="480" w:lineRule="auto"/>
        <w:jc w:val="center"/>
        <w:rPr>
          <w:rFonts w:ascii="楷体_GB2312" w:eastAsia="楷体_GB2312" w:hAnsi="楷体_GB2312" w:cs="楷体_GB2312" w:hint="eastAsia"/>
          <w:b/>
          <w:sz w:val="28"/>
          <w:szCs w:val="28"/>
        </w:rPr>
      </w:pPr>
    </w:p>
    <w:p w:rsidR="00000000" w:rsidRDefault="00250BDB">
      <w:pPr>
        <w:spacing w:line="480" w:lineRule="auto"/>
        <w:jc w:val="center"/>
        <w:rPr>
          <w:rFonts w:ascii="楷体_GB2312" w:eastAsia="楷体_GB2312" w:hAnsi="楷体_GB2312" w:cs="楷体_GB2312" w:hint="eastAsia"/>
          <w:b/>
          <w:sz w:val="28"/>
          <w:szCs w:val="28"/>
        </w:rPr>
      </w:pPr>
    </w:p>
    <w:p w:rsidR="00000000" w:rsidRDefault="00250BDB">
      <w:pPr>
        <w:spacing w:line="480" w:lineRule="auto"/>
        <w:jc w:val="center"/>
        <w:rPr>
          <w:rFonts w:ascii="楷体_GB2312" w:eastAsia="楷体_GB2312" w:hAnsi="楷体_GB2312" w:cs="楷体_GB2312" w:hint="eastAsia"/>
          <w:b/>
          <w:sz w:val="28"/>
          <w:szCs w:val="28"/>
        </w:rPr>
      </w:pPr>
    </w:p>
    <w:p w:rsidR="00000000" w:rsidRDefault="00250BDB">
      <w:pPr>
        <w:spacing w:line="480" w:lineRule="auto"/>
        <w:jc w:val="center"/>
        <w:rPr>
          <w:rFonts w:ascii="楷体_GB2312" w:eastAsia="楷体_GB2312" w:hAnsi="楷体_GB2312" w:cs="楷体_GB2312" w:hint="eastAsia"/>
          <w:b/>
          <w:sz w:val="28"/>
          <w:szCs w:val="28"/>
        </w:rPr>
      </w:pPr>
    </w:p>
    <w:p w:rsidR="00000000" w:rsidRDefault="00250BDB">
      <w:pPr>
        <w:spacing w:line="480" w:lineRule="auto"/>
        <w:ind w:left="420"/>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lastRenderedPageBreak/>
        <w:t>表</w:t>
      </w:r>
      <w:r>
        <w:rPr>
          <w:rFonts w:ascii="楷体_GB2312" w:eastAsia="楷体_GB2312" w:hAnsi="楷体_GB2312" w:cs="楷体_GB2312" w:hint="eastAsia"/>
          <w:b/>
          <w:bCs/>
          <w:sz w:val="28"/>
          <w:szCs w:val="28"/>
        </w:rPr>
        <w:t xml:space="preserve">4-1  </w:t>
      </w:r>
      <w:r>
        <w:rPr>
          <w:rFonts w:ascii="楷体_GB2312" w:eastAsia="楷体_GB2312" w:hAnsi="楷体_GB2312" w:cs="楷体_GB2312" w:hint="eastAsia"/>
          <w:b/>
          <w:bCs/>
          <w:sz w:val="28"/>
          <w:szCs w:val="28"/>
        </w:rPr>
        <w:t>学生对专业设置和教学条件的满意度调查结果</w:t>
      </w:r>
    </w:p>
    <w:tbl>
      <w:tblPr>
        <w:tblW w:w="0" w:type="auto"/>
        <w:tblInd w:w="0" w:type="dxa"/>
        <w:tblLayout w:type="fixed"/>
        <w:tblCellMar>
          <w:top w:w="15" w:type="dxa"/>
          <w:left w:w="15" w:type="dxa"/>
          <w:bottom w:w="15" w:type="dxa"/>
          <w:right w:w="15" w:type="dxa"/>
        </w:tblCellMar>
        <w:tblLook w:val="0000"/>
      </w:tblPr>
      <w:tblGrid>
        <w:gridCol w:w="1741"/>
        <w:gridCol w:w="1320"/>
        <w:gridCol w:w="1305"/>
        <w:gridCol w:w="1710"/>
        <w:gridCol w:w="1245"/>
        <w:gridCol w:w="1260"/>
      </w:tblGrid>
      <w:tr w:rsidR="00000000">
        <w:trPr>
          <w:trHeight w:val="390"/>
        </w:trPr>
        <w:tc>
          <w:tcPr>
            <w:tcW w:w="4366" w:type="dxa"/>
            <w:gridSpan w:val="3"/>
            <w:tcBorders>
              <w:top w:val="single" w:sz="4" w:space="0" w:color="000000"/>
              <w:left w:val="single" w:sz="4" w:space="0" w:color="000000"/>
              <w:bottom w:val="single" w:sz="4" w:space="0" w:color="000000"/>
              <w:right w:val="single" w:sz="4" w:space="0" w:color="000000"/>
            </w:tcBorders>
          </w:tcPr>
          <w:p w:rsidR="00000000" w:rsidRDefault="00250BDB">
            <w:pPr>
              <w:widowControl/>
              <w:jc w:val="center"/>
              <w:textAlignment w:val="top"/>
              <w:rPr>
                <w:rFonts w:ascii="楷体_GB2312" w:eastAsia="楷体_GB2312" w:hAnsi="宋体" w:cs="楷体_GB2312"/>
                <w:b/>
                <w:color w:val="000000"/>
                <w:sz w:val="28"/>
                <w:szCs w:val="28"/>
              </w:rPr>
            </w:pPr>
            <w:r>
              <w:rPr>
                <w:rFonts w:ascii="楷体_GB2312" w:eastAsia="楷体_GB2312" w:hAnsi="宋体" w:cs="楷体_GB2312" w:hint="eastAsia"/>
                <w:b/>
                <w:color w:val="000000"/>
                <w:kern w:val="0"/>
                <w:sz w:val="28"/>
                <w:szCs w:val="28"/>
                <w:lang/>
              </w:rPr>
              <w:t>专业设置</w:t>
            </w:r>
          </w:p>
        </w:tc>
        <w:tc>
          <w:tcPr>
            <w:tcW w:w="4215" w:type="dxa"/>
            <w:gridSpan w:val="3"/>
            <w:tcBorders>
              <w:top w:val="single" w:sz="4" w:space="0" w:color="000000"/>
              <w:bottom w:val="single" w:sz="4" w:space="0" w:color="000000"/>
              <w:right w:val="single" w:sz="4" w:space="0" w:color="000000"/>
            </w:tcBorders>
          </w:tcPr>
          <w:p w:rsidR="00000000" w:rsidRDefault="00250BDB">
            <w:pPr>
              <w:widowControl/>
              <w:jc w:val="center"/>
              <w:textAlignment w:val="top"/>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教学条件</w:t>
            </w:r>
          </w:p>
        </w:tc>
      </w:tr>
      <w:tr w:rsidR="00000000">
        <w:trPr>
          <w:trHeight w:val="390"/>
        </w:trPr>
        <w:tc>
          <w:tcPr>
            <w:tcW w:w="1741"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具体内容</w:t>
            </w:r>
          </w:p>
        </w:tc>
        <w:tc>
          <w:tcPr>
            <w:tcW w:w="1320"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非常满意</w:t>
            </w:r>
          </w:p>
        </w:tc>
        <w:tc>
          <w:tcPr>
            <w:tcW w:w="1305"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比较满意</w:t>
            </w:r>
          </w:p>
        </w:tc>
        <w:tc>
          <w:tcPr>
            <w:tcW w:w="1710" w:type="dxa"/>
            <w:tcBorders>
              <w:top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具体内容</w:t>
            </w:r>
          </w:p>
        </w:tc>
        <w:tc>
          <w:tcPr>
            <w:tcW w:w="1245"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非常满意</w:t>
            </w:r>
          </w:p>
        </w:tc>
        <w:tc>
          <w:tcPr>
            <w:tcW w:w="1260"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比较满意</w:t>
            </w:r>
          </w:p>
        </w:tc>
      </w:tr>
      <w:tr w:rsidR="00000000">
        <w:trPr>
          <w:trHeight w:val="375"/>
        </w:trPr>
        <w:tc>
          <w:tcPr>
            <w:tcW w:w="1741"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教材</w:t>
            </w:r>
          </w:p>
        </w:tc>
        <w:tc>
          <w:tcPr>
            <w:tcW w:w="1320"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84.70%</w:t>
            </w:r>
          </w:p>
        </w:tc>
        <w:tc>
          <w:tcPr>
            <w:tcW w:w="1305"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15.30%</w:t>
            </w:r>
          </w:p>
        </w:tc>
        <w:tc>
          <w:tcPr>
            <w:tcW w:w="1710"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教室设施</w:t>
            </w:r>
          </w:p>
        </w:tc>
        <w:tc>
          <w:tcPr>
            <w:tcW w:w="1245"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90.30%</w:t>
            </w:r>
          </w:p>
        </w:tc>
        <w:tc>
          <w:tcPr>
            <w:tcW w:w="1260"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9.70%</w:t>
            </w:r>
          </w:p>
        </w:tc>
      </w:tr>
      <w:tr w:rsidR="00000000">
        <w:trPr>
          <w:trHeight w:val="750"/>
        </w:trPr>
        <w:tc>
          <w:tcPr>
            <w:tcW w:w="1741"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专业知识结构</w:t>
            </w:r>
          </w:p>
        </w:tc>
        <w:tc>
          <w:tcPr>
            <w:tcW w:w="1320"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94.40%</w:t>
            </w:r>
          </w:p>
        </w:tc>
        <w:tc>
          <w:tcPr>
            <w:tcW w:w="1305"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5.60%</w:t>
            </w:r>
          </w:p>
        </w:tc>
        <w:tc>
          <w:tcPr>
            <w:tcW w:w="1710"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专业藏书</w:t>
            </w:r>
          </w:p>
        </w:tc>
        <w:tc>
          <w:tcPr>
            <w:tcW w:w="1245"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90.30%</w:t>
            </w:r>
          </w:p>
        </w:tc>
        <w:tc>
          <w:tcPr>
            <w:tcW w:w="1260"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9.70%</w:t>
            </w:r>
          </w:p>
        </w:tc>
      </w:tr>
      <w:tr w:rsidR="00000000">
        <w:trPr>
          <w:trHeight w:val="750"/>
        </w:trPr>
        <w:tc>
          <w:tcPr>
            <w:tcW w:w="1741"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课程课时</w:t>
            </w:r>
          </w:p>
        </w:tc>
        <w:tc>
          <w:tcPr>
            <w:tcW w:w="1320"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87.50%</w:t>
            </w:r>
          </w:p>
        </w:tc>
        <w:tc>
          <w:tcPr>
            <w:tcW w:w="1305"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12.50%</w:t>
            </w:r>
          </w:p>
        </w:tc>
        <w:tc>
          <w:tcPr>
            <w:tcW w:w="1710"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语音室设备</w:t>
            </w:r>
          </w:p>
        </w:tc>
        <w:tc>
          <w:tcPr>
            <w:tcW w:w="1245"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97.20%</w:t>
            </w:r>
          </w:p>
        </w:tc>
        <w:tc>
          <w:tcPr>
            <w:tcW w:w="1260"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2.80%</w:t>
            </w:r>
          </w:p>
        </w:tc>
      </w:tr>
      <w:tr w:rsidR="00000000">
        <w:trPr>
          <w:trHeight w:val="375"/>
        </w:trPr>
        <w:tc>
          <w:tcPr>
            <w:tcW w:w="1741"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授课时间</w:t>
            </w:r>
          </w:p>
        </w:tc>
        <w:tc>
          <w:tcPr>
            <w:tcW w:w="1320"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95.80%</w:t>
            </w:r>
          </w:p>
        </w:tc>
        <w:tc>
          <w:tcPr>
            <w:tcW w:w="1305"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4.20%</w:t>
            </w:r>
          </w:p>
        </w:tc>
        <w:tc>
          <w:tcPr>
            <w:tcW w:w="1710"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实践教学</w:t>
            </w:r>
          </w:p>
        </w:tc>
        <w:tc>
          <w:tcPr>
            <w:tcW w:w="1245"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98.60%</w:t>
            </w:r>
          </w:p>
        </w:tc>
        <w:tc>
          <w:tcPr>
            <w:tcW w:w="1260"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1.40%</w:t>
            </w:r>
          </w:p>
        </w:tc>
      </w:tr>
      <w:tr w:rsidR="00000000">
        <w:trPr>
          <w:trHeight w:val="390"/>
        </w:trPr>
        <w:tc>
          <w:tcPr>
            <w:tcW w:w="1741"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平均值</w:t>
            </w:r>
          </w:p>
        </w:tc>
        <w:tc>
          <w:tcPr>
            <w:tcW w:w="132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90.60%</w:t>
            </w:r>
          </w:p>
        </w:tc>
        <w:tc>
          <w:tcPr>
            <w:tcW w:w="1305"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w:t>
            </w:r>
            <w:r>
              <w:rPr>
                <w:rFonts w:ascii="楷体_GB2312" w:eastAsia="楷体_GB2312" w:hAnsi="宋体" w:cs="楷体_GB2312" w:hint="eastAsia"/>
                <w:color w:val="000000"/>
                <w:kern w:val="0"/>
                <w:sz w:val="28"/>
                <w:szCs w:val="28"/>
                <w:lang/>
              </w:rPr>
              <w:t>.40%</w:t>
            </w:r>
          </w:p>
        </w:tc>
        <w:tc>
          <w:tcPr>
            <w:tcW w:w="1710" w:type="dxa"/>
            <w:tcBorders>
              <w:top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平均值</w:t>
            </w:r>
          </w:p>
        </w:tc>
        <w:tc>
          <w:tcPr>
            <w:tcW w:w="1245"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94.10%</w:t>
            </w:r>
          </w:p>
        </w:tc>
        <w:tc>
          <w:tcPr>
            <w:tcW w:w="126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5.90%</w:t>
            </w:r>
          </w:p>
        </w:tc>
      </w:tr>
    </w:tbl>
    <w:p w:rsidR="00000000" w:rsidRDefault="00250BDB">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（二）对教师教学和专业学习氛围的反馈</w:t>
      </w:r>
    </w:p>
    <w:p w:rsidR="00000000" w:rsidRDefault="00250BDB">
      <w:pPr>
        <w:spacing w:line="480" w:lineRule="auto"/>
        <w:ind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调查结果显示，</w:t>
      </w:r>
      <w:r>
        <w:rPr>
          <w:rFonts w:ascii="楷体_GB2312" w:eastAsia="楷体_GB2312" w:hAnsi="楷体_GB2312" w:cs="楷体_GB2312" w:hint="eastAsia"/>
          <w:sz w:val="28"/>
          <w:szCs w:val="28"/>
        </w:rPr>
        <w:t>96.5%</w:t>
      </w:r>
      <w:r>
        <w:rPr>
          <w:rFonts w:ascii="楷体_GB2312" w:eastAsia="楷体_GB2312" w:hAnsi="楷体_GB2312" w:cs="楷体_GB2312" w:hint="eastAsia"/>
          <w:sz w:val="28"/>
          <w:szCs w:val="28"/>
        </w:rPr>
        <w:t>的学生对教师教学表示“非常满意”，</w:t>
      </w:r>
      <w:r>
        <w:rPr>
          <w:rFonts w:ascii="楷体_GB2312" w:eastAsia="楷体_GB2312" w:hAnsi="楷体_GB2312" w:cs="楷体_GB2312" w:hint="eastAsia"/>
          <w:sz w:val="28"/>
          <w:szCs w:val="28"/>
        </w:rPr>
        <w:t>3.5%</w:t>
      </w:r>
      <w:r>
        <w:rPr>
          <w:rFonts w:ascii="楷体_GB2312" w:eastAsia="楷体_GB2312" w:hAnsi="楷体_GB2312" w:cs="楷体_GB2312" w:hint="eastAsia"/>
          <w:sz w:val="28"/>
          <w:szCs w:val="28"/>
        </w:rPr>
        <w:t>的学生表示“比较满意”。他们普遍反映教师在授课过程中能注重理论与实践相结合，培养学生对知识的实际应用能力。对专业学习氛围表示“非常满意”的学生占</w:t>
      </w:r>
      <w:r>
        <w:rPr>
          <w:rFonts w:ascii="楷体_GB2312" w:eastAsia="楷体_GB2312" w:hAnsi="楷体_GB2312" w:cs="楷体_GB2312" w:hint="eastAsia"/>
          <w:sz w:val="28"/>
          <w:szCs w:val="28"/>
        </w:rPr>
        <w:t>85.1%</w:t>
      </w:r>
      <w:r>
        <w:rPr>
          <w:rFonts w:ascii="楷体_GB2312" w:eastAsia="楷体_GB2312" w:hAnsi="楷体_GB2312" w:cs="楷体_GB2312" w:hint="eastAsia"/>
          <w:sz w:val="28"/>
          <w:szCs w:val="28"/>
        </w:rPr>
        <w:t>，表示“比较满意”的学生占</w:t>
      </w:r>
      <w:r>
        <w:rPr>
          <w:rFonts w:ascii="楷体_GB2312" w:eastAsia="楷体_GB2312" w:hAnsi="楷体_GB2312" w:cs="楷体_GB2312" w:hint="eastAsia"/>
          <w:sz w:val="28"/>
          <w:szCs w:val="28"/>
        </w:rPr>
        <w:t>14.9%</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4-2</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250BDB">
      <w:pPr>
        <w:spacing w:line="480" w:lineRule="auto"/>
        <w:jc w:val="left"/>
        <w:rPr>
          <w:rFonts w:ascii="楷体_GB2312" w:eastAsia="楷体_GB2312" w:hAnsi="楷体_GB2312" w:cs="楷体_GB2312" w:hint="eastAsia"/>
          <w:b/>
          <w:sz w:val="28"/>
          <w:szCs w:val="28"/>
        </w:rPr>
      </w:pPr>
      <w:r>
        <w:rPr>
          <w:rFonts w:ascii="楷体_GB2312" w:eastAsia="楷体_GB2312" w:hAnsi="楷体_GB2312" w:cs="楷体_GB2312" w:hint="eastAsia"/>
          <w:b/>
          <w:sz w:val="28"/>
          <w:szCs w:val="28"/>
        </w:rPr>
        <w:t xml:space="preserve"> </w:t>
      </w:r>
    </w:p>
    <w:p w:rsidR="00000000" w:rsidRDefault="00250BDB">
      <w:pPr>
        <w:spacing w:line="480" w:lineRule="auto"/>
        <w:jc w:val="left"/>
        <w:rPr>
          <w:rFonts w:ascii="楷体_GB2312" w:eastAsia="楷体_GB2312" w:hAnsi="楷体_GB2312" w:cs="楷体_GB2312" w:hint="eastAsia"/>
          <w:b/>
          <w:sz w:val="28"/>
          <w:szCs w:val="28"/>
        </w:rPr>
      </w:pPr>
    </w:p>
    <w:p w:rsidR="00000000" w:rsidRDefault="00250BDB">
      <w:pPr>
        <w:spacing w:line="480" w:lineRule="auto"/>
        <w:jc w:val="left"/>
        <w:rPr>
          <w:rFonts w:ascii="楷体_GB2312" w:eastAsia="楷体_GB2312" w:hAnsi="楷体_GB2312" w:cs="楷体_GB2312" w:hint="eastAsia"/>
          <w:b/>
          <w:sz w:val="28"/>
          <w:szCs w:val="28"/>
        </w:rPr>
      </w:pPr>
    </w:p>
    <w:p w:rsidR="00000000" w:rsidRDefault="00250BDB">
      <w:pPr>
        <w:spacing w:line="480" w:lineRule="auto"/>
        <w:jc w:val="left"/>
        <w:rPr>
          <w:rFonts w:ascii="楷体_GB2312" w:eastAsia="楷体_GB2312" w:hAnsi="楷体_GB2312" w:cs="楷体_GB2312" w:hint="eastAsia"/>
          <w:b/>
          <w:sz w:val="28"/>
          <w:szCs w:val="28"/>
        </w:rPr>
      </w:pPr>
    </w:p>
    <w:p w:rsidR="00000000" w:rsidRDefault="00250BDB">
      <w:pPr>
        <w:spacing w:line="480" w:lineRule="auto"/>
        <w:jc w:val="left"/>
        <w:rPr>
          <w:rFonts w:ascii="楷体_GB2312" w:eastAsia="楷体_GB2312" w:hAnsi="楷体_GB2312" w:cs="楷体_GB2312" w:hint="eastAsia"/>
          <w:b/>
          <w:sz w:val="28"/>
          <w:szCs w:val="28"/>
        </w:rPr>
      </w:pPr>
    </w:p>
    <w:p w:rsidR="00000000" w:rsidRDefault="00250BDB">
      <w:pPr>
        <w:spacing w:line="480" w:lineRule="auto"/>
        <w:jc w:val="left"/>
        <w:rPr>
          <w:rFonts w:ascii="楷体_GB2312" w:eastAsia="楷体_GB2312" w:hAnsi="楷体_GB2312" w:cs="楷体_GB2312" w:hint="eastAsia"/>
          <w:b/>
          <w:sz w:val="28"/>
          <w:szCs w:val="28"/>
        </w:rPr>
      </w:pPr>
    </w:p>
    <w:p w:rsidR="00000000" w:rsidRDefault="00250BDB">
      <w:pPr>
        <w:spacing w:line="480" w:lineRule="auto"/>
        <w:jc w:val="left"/>
        <w:rPr>
          <w:rFonts w:ascii="楷体_GB2312" w:eastAsia="楷体_GB2312" w:hAnsi="楷体_GB2312" w:cs="楷体_GB2312" w:hint="eastAsia"/>
          <w:b/>
          <w:sz w:val="28"/>
          <w:szCs w:val="28"/>
        </w:rPr>
      </w:pPr>
    </w:p>
    <w:p w:rsidR="00000000" w:rsidRDefault="00250BDB">
      <w:pPr>
        <w:spacing w:line="480" w:lineRule="auto"/>
        <w:ind w:left="420"/>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lastRenderedPageBreak/>
        <w:t>表</w:t>
      </w:r>
      <w:r>
        <w:rPr>
          <w:rFonts w:ascii="楷体_GB2312" w:eastAsia="楷体_GB2312" w:hAnsi="楷体_GB2312" w:cs="楷体_GB2312" w:hint="eastAsia"/>
          <w:b/>
          <w:bCs/>
          <w:sz w:val="28"/>
          <w:szCs w:val="28"/>
        </w:rPr>
        <w:t xml:space="preserve">4-2  </w:t>
      </w:r>
      <w:r>
        <w:rPr>
          <w:rFonts w:ascii="楷体_GB2312" w:eastAsia="楷体_GB2312" w:hAnsi="楷体_GB2312" w:cs="楷体_GB2312" w:hint="eastAsia"/>
          <w:b/>
          <w:bCs/>
          <w:sz w:val="28"/>
          <w:szCs w:val="28"/>
        </w:rPr>
        <w:t>学生对教师教学和专业学习氛围的满意度调查结果</w:t>
      </w:r>
    </w:p>
    <w:tbl>
      <w:tblPr>
        <w:tblW w:w="0" w:type="auto"/>
        <w:tblInd w:w="0" w:type="dxa"/>
        <w:tblLayout w:type="fixed"/>
        <w:tblCellMar>
          <w:top w:w="15" w:type="dxa"/>
          <w:left w:w="15" w:type="dxa"/>
          <w:bottom w:w="15" w:type="dxa"/>
          <w:right w:w="15" w:type="dxa"/>
        </w:tblCellMar>
        <w:tblLook w:val="0000"/>
      </w:tblPr>
      <w:tblGrid>
        <w:gridCol w:w="1422"/>
        <w:gridCol w:w="1409"/>
        <w:gridCol w:w="1434"/>
        <w:gridCol w:w="1422"/>
        <w:gridCol w:w="1452"/>
        <w:gridCol w:w="1438"/>
      </w:tblGrid>
      <w:tr w:rsidR="00000000">
        <w:trPr>
          <w:trHeight w:val="390"/>
        </w:trPr>
        <w:tc>
          <w:tcPr>
            <w:tcW w:w="4265" w:type="dxa"/>
            <w:gridSpan w:val="3"/>
            <w:tcBorders>
              <w:top w:val="single" w:sz="4" w:space="0" w:color="000000"/>
              <w:left w:val="single" w:sz="4" w:space="0" w:color="000000"/>
              <w:bottom w:val="single" w:sz="4" w:space="0" w:color="000000"/>
              <w:right w:val="single" w:sz="4" w:space="0" w:color="000000"/>
            </w:tcBorders>
          </w:tcPr>
          <w:p w:rsidR="00000000" w:rsidRDefault="00250BDB">
            <w:pPr>
              <w:widowControl/>
              <w:jc w:val="center"/>
              <w:textAlignment w:val="top"/>
              <w:rPr>
                <w:rFonts w:ascii="楷体_GB2312" w:eastAsia="楷体_GB2312" w:hAnsi="宋体" w:cs="楷体_GB2312"/>
                <w:b/>
                <w:color w:val="000000"/>
                <w:sz w:val="28"/>
                <w:szCs w:val="28"/>
              </w:rPr>
            </w:pPr>
            <w:r>
              <w:rPr>
                <w:rFonts w:ascii="楷体_GB2312" w:eastAsia="楷体_GB2312" w:hAnsi="宋体" w:cs="楷体_GB2312" w:hint="eastAsia"/>
                <w:b/>
                <w:color w:val="000000"/>
                <w:kern w:val="0"/>
                <w:sz w:val="28"/>
                <w:szCs w:val="28"/>
                <w:lang/>
              </w:rPr>
              <w:t>教师教学</w:t>
            </w:r>
          </w:p>
        </w:tc>
        <w:tc>
          <w:tcPr>
            <w:tcW w:w="4312" w:type="dxa"/>
            <w:gridSpan w:val="3"/>
            <w:tcBorders>
              <w:top w:val="single" w:sz="4" w:space="0" w:color="000000"/>
              <w:bottom w:val="single" w:sz="4" w:space="0" w:color="000000"/>
              <w:right w:val="single" w:sz="4" w:space="0" w:color="000000"/>
            </w:tcBorders>
          </w:tcPr>
          <w:p w:rsidR="00000000" w:rsidRDefault="00250BDB">
            <w:pPr>
              <w:widowControl/>
              <w:jc w:val="center"/>
              <w:textAlignment w:val="top"/>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专业学习氛围</w:t>
            </w:r>
          </w:p>
        </w:tc>
      </w:tr>
      <w:tr w:rsidR="00000000">
        <w:trPr>
          <w:trHeight w:val="390"/>
        </w:trPr>
        <w:tc>
          <w:tcPr>
            <w:tcW w:w="1422"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具体内容</w:t>
            </w:r>
          </w:p>
        </w:tc>
        <w:tc>
          <w:tcPr>
            <w:tcW w:w="1409"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非常满意</w:t>
            </w:r>
          </w:p>
        </w:tc>
        <w:tc>
          <w:tcPr>
            <w:tcW w:w="1434"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比较满意</w:t>
            </w:r>
          </w:p>
        </w:tc>
        <w:tc>
          <w:tcPr>
            <w:tcW w:w="1422" w:type="dxa"/>
            <w:tcBorders>
              <w:top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具体内容</w:t>
            </w:r>
          </w:p>
        </w:tc>
        <w:tc>
          <w:tcPr>
            <w:tcW w:w="1452"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非常满意</w:t>
            </w:r>
          </w:p>
        </w:tc>
        <w:tc>
          <w:tcPr>
            <w:tcW w:w="1438"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b/>
                <w:color w:val="000000"/>
                <w:sz w:val="28"/>
                <w:szCs w:val="28"/>
              </w:rPr>
            </w:pPr>
            <w:r>
              <w:rPr>
                <w:rFonts w:ascii="楷体_GB2312" w:eastAsia="楷体_GB2312" w:hAnsi="宋体" w:cs="楷体_GB2312" w:hint="eastAsia"/>
                <w:b/>
                <w:color w:val="000000"/>
                <w:kern w:val="0"/>
                <w:sz w:val="28"/>
                <w:szCs w:val="28"/>
                <w:lang/>
              </w:rPr>
              <w:t>比较</w:t>
            </w:r>
            <w:r>
              <w:rPr>
                <w:rFonts w:ascii="楷体_GB2312" w:eastAsia="楷体_GB2312" w:hAnsi="宋体" w:cs="楷体_GB2312" w:hint="eastAsia"/>
                <w:b/>
                <w:color w:val="000000"/>
                <w:kern w:val="0"/>
                <w:sz w:val="28"/>
                <w:szCs w:val="28"/>
                <w:lang/>
              </w:rPr>
              <w:t>满意</w:t>
            </w:r>
          </w:p>
        </w:tc>
      </w:tr>
      <w:tr w:rsidR="00000000">
        <w:trPr>
          <w:trHeight w:val="375"/>
        </w:trPr>
        <w:tc>
          <w:tcPr>
            <w:tcW w:w="1422"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教学态度</w:t>
            </w:r>
          </w:p>
        </w:tc>
        <w:tc>
          <w:tcPr>
            <w:tcW w:w="1409"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94.40%</w:t>
            </w:r>
          </w:p>
        </w:tc>
        <w:tc>
          <w:tcPr>
            <w:tcW w:w="1434"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5.60%</w:t>
            </w:r>
          </w:p>
        </w:tc>
        <w:tc>
          <w:tcPr>
            <w:tcW w:w="1422"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校风</w:t>
            </w:r>
          </w:p>
        </w:tc>
        <w:tc>
          <w:tcPr>
            <w:tcW w:w="1452"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82.50%</w:t>
            </w:r>
          </w:p>
        </w:tc>
        <w:tc>
          <w:tcPr>
            <w:tcW w:w="1438"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17.50%</w:t>
            </w:r>
          </w:p>
        </w:tc>
      </w:tr>
      <w:tr w:rsidR="00000000">
        <w:trPr>
          <w:trHeight w:val="750"/>
        </w:trPr>
        <w:tc>
          <w:tcPr>
            <w:tcW w:w="1422"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教学方法</w:t>
            </w:r>
          </w:p>
        </w:tc>
        <w:tc>
          <w:tcPr>
            <w:tcW w:w="1409"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97.20%</w:t>
            </w:r>
          </w:p>
        </w:tc>
        <w:tc>
          <w:tcPr>
            <w:tcW w:w="1434"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2.80%</w:t>
            </w:r>
          </w:p>
        </w:tc>
        <w:tc>
          <w:tcPr>
            <w:tcW w:w="1422"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学风建设</w:t>
            </w:r>
          </w:p>
        </w:tc>
        <w:tc>
          <w:tcPr>
            <w:tcW w:w="1452"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90.30%</w:t>
            </w:r>
          </w:p>
        </w:tc>
        <w:tc>
          <w:tcPr>
            <w:tcW w:w="1438"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9.70%</w:t>
            </w:r>
          </w:p>
        </w:tc>
      </w:tr>
      <w:tr w:rsidR="00000000">
        <w:trPr>
          <w:trHeight w:val="750"/>
        </w:trPr>
        <w:tc>
          <w:tcPr>
            <w:tcW w:w="1422"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教学手段</w:t>
            </w:r>
          </w:p>
        </w:tc>
        <w:tc>
          <w:tcPr>
            <w:tcW w:w="1409"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97.20%</w:t>
            </w:r>
          </w:p>
        </w:tc>
        <w:tc>
          <w:tcPr>
            <w:tcW w:w="1434"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2.80%</w:t>
            </w:r>
          </w:p>
        </w:tc>
        <w:tc>
          <w:tcPr>
            <w:tcW w:w="1422"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专家讲座</w:t>
            </w:r>
          </w:p>
        </w:tc>
        <w:tc>
          <w:tcPr>
            <w:tcW w:w="1452"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90.30%</w:t>
            </w:r>
          </w:p>
        </w:tc>
        <w:tc>
          <w:tcPr>
            <w:tcW w:w="1438"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9.70%</w:t>
            </w:r>
          </w:p>
        </w:tc>
      </w:tr>
      <w:tr w:rsidR="00000000">
        <w:trPr>
          <w:trHeight w:val="375"/>
        </w:trPr>
        <w:tc>
          <w:tcPr>
            <w:tcW w:w="1422"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教学内容</w:t>
            </w:r>
          </w:p>
        </w:tc>
        <w:tc>
          <w:tcPr>
            <w:tcW w:w="1409"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97.20%</w:t>
            </w:r>
          </w:p>
        </w:tc>
        <w:tc>
          <w:tcPr>
            <w:tcW w:w="1434" w:type="dxa"/>
            <w:tcBorders>
              <w:top w:val="single" w:sz="4" w:space="0" w:color="000000"/>
              <w:left w:val="single" w:sz="4" w:space="0" w:color="000000"/>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2.80%</w:t>
            </w:r>
          </w:p>
        </w:tc>
        <w:tc>
          <w:tcPr>
            <w:tcW w:w="1422"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学习氛围</w:t>
            </w:r>
          </w:p>
        </w:tc>
        <w:tc>
          <w:tcPr>
            <w:tcW w:w="1452"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97.20%</w:t>
            </w:r>
          </w:p>
        </w:tc>
        <w:tc>
          <w:tcPr>
            <w:tcW w:w="1438" w:type="dxa"/>
            <w:tcBorders>
              <w:bottom w:val="single" w:sz="4" w:space="0" w:color="000000"/>
              <w:right w:val="single" w:sz="4" w:space="0" w:color="000000"/>
            </w:tcBorders>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2.80%</w:t>
            </w:r>
          </w:p>
        </w:tc>
      </w:tr>
      <w:tr w:rsidR="00000000">
        <w:trPr>
          <w:trHeight w:val="390"/>
        </w:trPr>
        <w:tc>
          <w:tcPr>
            <w:tcW w:w="1422"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平均值</w:t>
            </w:r>
          </w:p>
        </w:tc>
        <w:tc>
          <w:tcPr>
            <w:tcW w:w="1409"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96.50%</w:t>
            </w:r>
          </w:p>
        </w:tc>
        <w:tc>
          <w:tcPr>
            <w:tcW w:w="143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3.50%</w:t>
            </w:r>
          </w:p>
        </w:tc>
        <w:tc>
          <w:tcPr>
            <w:tcW w:w="1422" w:type="dxa"/>
            <w:tcBorders>
              <w:top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平均值</w:t>
            </w:r>
          </w:p>
        </w:tc>
        <w:tc>
          <w:tcPr>
            <w:tcW w:w="1452"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85.10%</w:t>
            </w:r>
          </w:p>
        </w:tc>
        <w:tc>
          <w:tcPr>
            <w:tcW w:w="143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00000" w:rsidRDefault="00250BDB">
            <w:pPr>
              <w:widowControl/>
              <w:jc w:val="center"/>
              <w:textAlignment w:val="center"/>
              <w:rPr>
                <w:rFonts w:ascii="楷体_GB2312" w:eastAsia="楷体_GB2312" w:hAnsi="宋体" w:cs="楷体_GB2312" w:hint="eastAsia"/>
                <w:color w:val="000000"/>
                <w:sz w:val="28"/>
                <w:szCs w:val="28"/>
              </w:rPr>
            </w:pPr>
            <w:r>
              <w:rPr>
                <w:rFonts w:ascii="楷体_GB2312" w:eastAsia="楷体_GB2312" w:hAnsi="宋体" w:cs="楷体_GB2312" w:hint="eastAsia"/>
                <w:color w:val="000000"/>
                <w:kern w:val="0"/>
                <w:sz w:val="28"/>
                <w:szCs w:val="28"/>
                <w:lang/>
              </w:rPr>
              <w:t>14.90%</w:t>
            </w:r>
          </w:p>
        </w:tc>
      </w:tr>
    </w:tbl>
    <w:p w:rsidR="00000000" w:rsidRDefault="00250BDB">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（三）家长对学院的满意度调查</w:t>
      </w:r>
    </w:p>
    <w:p w:rsidR="00000000" w:rsidRDefault="00250BDB">
      <w:pPr>
        <w:spacing w:line="480" w:lineRule="auto"/>
        <w:ind w:firstLine="480"/>
        <w:rPr>
          <w:rFonts w:ascii="楷体_GB2312" w:eastAsia="楷体_GB2312" w:hAnsi="楷体_GB2312" w:cs="楷体_GB2312"/>
          <w:sz w:val="28"/>
          <w:szCs w:val="28"/>
        </w:rPr>
      </w:pPr>
      <w:r>
        <w:rPr>
          <w:rFonts w:ascii="楷体_GB2312" w:eastAsia="楷体_GB2312" w:hAnsi="楷体_GB2312" w:cs="楷体_GB2312" w:hint="eastAsia"/>
          <w:sz w:val="28"/>
          <w:szCs w:val="28"/>
        </w:rPr>
        <w:t>家长对我院学生总体素质表示“很满意”和“满意”的比例达</w:t>
      </w:r>
      <w:r>
        <w:rPr>
          <w:rFonts w:ascii="楷体_GB2312" w:eastAsia="楷体_GB2312" w:hAnsi="楷体_GB2312" w:cs="楷体_GB2312" w:hint="eastAsia"/>
          <w:sz w:val="28"/>
          <w:szCs w:val="28"/>
        </w:rPr>
        <w:t>88.9%</w:t>
      </w:r>
      <w:r>
        <w:rPr>
          <w:rFonts w:ascii="楷体_GB2312" w:eastAsia="楷体_GB2312" w:hAnsi="楷体_GB2312" w:cs="楷体_GB2312" w:hint="eastAsia"/>
          <w:sz w:val="28"/>
          <w:szCs w:val="28"/>
        </w:rPr>
        <w:t>，对自己孩子综合素质表示“很满意”和“满意”</w:t>
      </w:r>
      <w:r>
        <w:rPr>
          <w:rFonts w:ascii="楷体_GB2312" w:eastAsia="楷体_GB2312" w:hAnsi="楷体_GB2312" w:cs="楷体_GB2312" w:hint="eastAsia"/>
          <w:sz w:val="28"/>
          <w:szCs w:val="28"/>
        </w:rPr>
        <w:t>的比例达</w:t>
      </w:r>
      <w:r>
        <w:rPr>
          <w:rFonts w:ascii="楷体_GB2312" w:eastAsia="楷体_GB2312" w:hAnsi="楷体_GB2312" w:cs="楷体_GB2312" w:hint="eastAsia"/>
          <w:sz w:val="28"/>
          <w:szCs w:val="28"/>
        </w:rPr>
        <w:t>94.5%</w:t>
      </w:r>
      <w:r>
        <w:rPr>
          <w:rFonts w:ascii="楷体_GB2312" w:eastAsia="楷体_GB2312" w:hAnsi="楷体_GB2312" w:cs="楷体_GB2312" w:hint="eastAsia"/>
          <w:sz w:val="28"/>
          <w:szCs w:val="28"/>
        </w:rPr>
        <w:t>，对学院教学管理水平表示“很满意”和“满意”的比例达</w:t>
      </w:r>
      <w:r>
        <w:rPr>
          <w:rFonts w:ascii="楷体_GB2312" w:eastAsia="楷体_GB2312" w:hAnsi="楷体_GB2312" w:cs="楷体_GB2312" w:hint="eastAsia"/>
          <w:sz w:val="28"/>
          <w:szCs w:val="28"/>
        </w:rPr>
        <w:t>80.7%</w:t>
      </w:r>
      <w:r>
        <w:rPr>
          <w:rFonts w:ascii="楷体_GB2312" w:eastAsia="楷体_GB2312" w:hAnsi="楷体_GB2312" w:cs="楷体_GB2312" w:hint="eastAsia"/>
          <w:sz w:val="28"/>
          <w:szCs w:val="28"/>
        </w:rPr>
        <w:t>，对教师教学表示“很满意”和“满意”的比例达</w:t>
      </w:r>
      <w:r>
        <w:rPr>
          <w:rFonts w:ascii="楷体_GB2312" w:eastAsia="楷体_GB2312" w:hAnsi="楷体_GB2312" w:cs="楷体_GB2312" w:hint="eastAsia"/>
          <w:sz w:val="28"/>
          <w:szCs w:val="28"/>
        </w:rPr>
        <w:t>85.1%</w:t>
      </w:r>
      <w:r>
        <w:rPr>
          <w:rFonts w:ascii="楷体_GB2312" w:eastAsia="楷体_GB2312" w:hAnsi="楷体_GB2312" w:cs="楷体_GB2312" w:hint="eastAsia"/>
          <w:sz w:val="28"/>
          <w:szCs w:val="28"/>
        </w:rPr>
        <w:t>，对教学条件表示“很满意”和“满意”的比例达</w:t>
      </w:r>
      <w:r>
        <w:rPr>
          <w:rFonts w:ascii="楷体_GB2312" w:eastAsia="楷体_GB2312" w:hAnsi="楷体_GB2312" w:cs="楷体_GB2312" w:hint="eastAsia"/>
          <w:sz w:val="28"/>
          <w:szCs w:val="28"/>
        </w:rPr>
        <w:t>85.4%</w:t>
      </w:r>
      <w:r>
        <w:rPr>
          <w:rFonts w:ascii="楷体_GB2312" w:eastAsia="楷体_GB2312" w:hAnsi="楷体_GB2312" w:cs="楷体_GB2312" w:hint="eastAsia"/>
          <w:sz w:val="28"/>
          <w:szCs w:val="28"/>
        </w:rPr>
        <w:t>，对学习风气表示“很满意”和“满意”的比例达</w:t>
      </w:r>
      <w:r>
        <w:rPr>
          <w:rFonts w:ascii="楷体_GB2312" w:eastAsia="楷体_GB2312" w:hAnsi="楷体_GB2312" w:cs="楷体_GB2312" w:hint="eastAsia"/>
          <w:sz w:val="28"/>
          <w:szCs w:val="28"/>
        </w:rPr>
        <w:t>90.4%</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4-3</w:t>
      </w:r>
      <w:r>
        <w:rPr>
          <w:rFonts w:ascii="楷体_GB2312" w:eastAsia="楷体_GB2312" w:hAnsi="楷体_GB2312" w:cs="楷体_GB2312" w:hint="eastAsia"/>
          <w:sz w:val="28"/>
          <w:szCs w:val="28"/>
        </w:rPr>
        <w:t>）。</w:t>
      </w:r>
    </w:p>
    <w:tbl>
      <w:tblPr>
        <w:tblpPr w:leftFromText="180" w:rightFromText="180" w:vertAnchor="text" w:horzAnchor="margin" w:tblpXSpec="center" w:tblpY="545"/>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6"/>
        <w:gridCol w:w="1813"/>
        <w:gridCol w:w="1862"/>
        <w:gridCol w:w="1762"/>
      </w:tblGrid>
      <w:tr w:rsidR="00000000">
        <w:trPr>
          <w:trHeight w:val="544"/>
          <w:jc w:val="center"/>
        </w:trPr>
        <w:tc>
          <w:tcPr>
            <w:tcW w:w="8053" w:type="dxa"/>
            <w:gridSpan w:val="4"/>
            <w:tcBorders>
              <w:top w:val="nil"/>
              <w:left w:val="nil"/>
              <w:bottom w:val="single" w:sz="4" w:space="0" w:color="auto"/>
              <w:right w:val="nil"/>
            </w:tcBorders>
          </w:tcPr>
          <w:p w:rsidR="00000000" w:rsidRDefault="00250BDB">
            <w:pPr>
              <w:spacing w:line="480" w:lineRule="auto"/>
              <w:ind w:firstLine="480"/>
              <w:jc w:val="center"/>
              <w:rPr>
                <w:rFonts w:ascii="楷体_GB2312" w:eastAsia="楷体_GB2312" w:hAnsi="楷体_GB2312" w:cs="楷体_GB2312"/>
                <w:b/>
                <w:sz w:val="28"/>
                <w:szCs w:val="28"/>
              </w:rPr>
            </w:pPr>
            <w:r>
              <w:rPr>
                <w:rFonts w:ascii="楷体_GB2312" w:eastAsia="楷体_GB2312" w:hAnsi="楷体_GB2312" w:cs="楷体_GB2312" w:hint="eastAsia"/>
                <w:b/>
                <w:bCs/>
                <w:sz w:val="28"/>
                <w:szCs w:val="28"/>
              </w:rPr>
              <w:lastRenderedPageBreak/>
              <w:t>表</w:t>
            </w:r>
            <w:r>
              <w:rPr>
                <w:rFonts w:ascii="楷体_GB2312" w:eastAsia="楷体_GB2312" w:hAnsi="楷体_GB2312" w:cs="楷体_GB2312" w:hint="eastAsia"/>
                <w:b/>
                <w:bCs/>
                <w:sz w:val="28"/>
                <w:szCs w:val="28"/>
              </w:rPr>
              <w:t>4-3</w:t>
            </w:r>
            <w:r>
              <w:rPr>
                <w:rFonts w:ascii="楷体_GB2312" w:eastAsia="楷体_GB2312" w:hAnsi="楷体_GB2312" w:cs="楷体_GB2312" w:hint="eastAsia"/>
                <w:b/>
                <w:bCs/>
                <w:sz w:val="28"/>
                <w:szCs w:val="28"/>
              </w:rPr>
              <w:t>家长对我院满意度情况</w:t>
            </w:r>
          </w:p>
        </w:tc>
      </w:tr>
      <w:tr w:rsidR="00000000">
        <w:trPr>
          <w:trHeight w:val="544"/>
          <w:jc w:val="center"/>
        </w:trPr>
        <w:tc>
          <w:tcPr>
            <w:tcW w:w="2616" w:type="dxa"/>
            <w:tcBorders>
              <w:top w:val="single" w:sz="4" w:space="0" w:color="auto"/>
            </w:tcBorders>
          </w:tcPr>
          <w:p w:rsidR="00000000" w:rsidRDefault="00250BDB">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基本内容</w:t>
            </w:r>
          </w:p>
        </w:tc>
        <w:tc>
          <w:tcPr>
            <w:tcW w:w="1813" w:type="dxa"/>
            <w:tcBorders>
              <w:top w:val="single" w:sz="4" w:space="0" w:color="auto"/>
            </w:tcBorders>
          </w:tcPr>
          <w:p w:rsidR="00000000" w:rsidRDefault="00250BDB">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很满意</w:t>
            </w:r>
          </w:p>
        </w:tc>
        <w:tc>
          <w:tcPr>
            <w:tcW w:w="1862" w:type="dxa"/>
            <w:tcBorders>
              <w:top w:val="single" w:sz="4" w:space="0" w:color="auto"/>
            </w:tcBorders>
          </w:tcPr>
          <w:p w:rsidR="00000000" w:rsidRDefault="00250BDB">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满意</w:t>
            </w:r>
          </w:p>
        </w:tc>
        <w:tc>
          <w:tcPr>
            <w:tcW w:w="1762" w:type="dxa"/>
            <w:tcBorders>
              <w:top w:val="single" w:sz="4" w:space="0" w:color="auto"/>
            </w:tcBorders>
          </w:tcPr>
          <w:p w:rsidR="00000000" w:rsidRDefault="00250BDB">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基本满意</w:t>
            </w:r>
          </w:p>
        </w:tc>
      </w:tr>
      <w:tr w:rsidR="00000000">
        <w:trPr>
          <w:trHeight w:val="544"/>
          <w:jc w:val="center"/>
        </w:trPr>
        <w:tc>
          <w:tcPr>
            <w:tcW w:w="2616" w:type="dxa"/>
          </w:tcPr>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学院学生总体素质</w:t>
            </w:r>
          </w:p>
        </w:tc>
        <w:tc>
          <w:tcPr>
            <w:tcW w:w="1813"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74.7%</w:t>
            </w:r>
          </w:p>
        </w:tc>
        <w:tc>
          <w:tcPr>
            <w:tcW w:w="18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14.2%</w:t>
            </w:r>
          </w:p>
        </w:tc>
        <w:tc>
          <w:tcPr>
            <w:tcW w:w="17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11.1%</w:t>
            </w:r>
          </w:p>
        </w:tc>
      </w:tr>
      <w:tr w:rsidR="00000000">
        <w:trPr>
          <w:trHeight w:val="544"/>
          <w:jc w:val="center"/>
        </w:trPr>
        <w:tc>
          <w:tcPr>
            <w:tcW w:w="2616" w:type="dxa"/>
          </w:tcPr>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自己孩子综合素质</w:t>
            </w:r>
          </w:p>
        </w:tc>
        <w:tc>
          <w:tcPr>
            <w:tcW w:w="1813"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32.3%</w:t>
            </w:r>
          </w:p>
        </w:tc>
        <w:tc>
          <w:tcPr>
            <w:tcW w:w="18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62.2%</w:t>
            </w:r>
          </w:p>
        </w:tc>
        <w:tc>
          <w:tcPr>
            <w:tcW w:w="17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5.5%</w:t>
            </w:r>
          </w:p>
        </w:tc>
      </w:tr>
      <w:tr w:rsidR="00000000">
        <w:trPr>
          <w:trHeight w:val="544"/>
          <w:jc w:val="center"/>
        </w:trPr>
        <w:tc>
          <w:tcPr>
            <w:tcW w:w="2616" w:type="dxa"/>
          </w:tcPr>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学院教学管理水平</w:t>
            </w:r>
          </w:p>
        </w:tc>
        <w:tc>
          <w:tcPr>
            <w:tcW w:w="1813"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20.6%</w:t>
            </w:r>
          </w:p>
        </w:tc>
        <w:tc>
          <w:tcPr>
            <w:tcW w:w="18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60.1%</w:t>
            </w:r>
          </w:p>
        </w:tc>
        <w:tc>
          <w:tcPr>
            <w:tcW w:w="17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19.3%</w:t>
            </w:r>
          </w:p>
        </w:tc>
      </w:tr>
      <w:tr w:rsidR="00000000">
        <w:trPr>
          <w:trHeight w:val="544"/>
          <w:jc w:val="center"/>
        </w:trPr>
        <w:tc>
          <w:tcPr>
            <w:tcW w:w="2616" w:type="dxa"/>
          </w:tcPr>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教师教学</w:t>
            </w:r>
          </w:p>
        </w:tc>
        <w:tc>
          <w:tcPr>
            <w:tcW w:w="1813"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20.3</w:t>
            </w:r>
            <w:r>
              <w:rPr>
                <w:rFonts w:ascii="楷体_GB2312" w:eastAsia="楷体_GB2312" w:hAnsi="楷体_GB2312" w:cs="楷体_GB2312" w:hint="eastAsia"/>
                <w:sz w:val="28"/>
                <w:szCs w:val="28"/>
              </w:rPr>
              <w:t>%</w:t>
            </w:r>
          </w:p>
        </w:tc>
        <w:tc>
          <w:tcPr>
            <w:tcW w:w="18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64.8%</w:t>
            </w:r>
          </w:p>
        </w:tc>
        <w:tc>
          <w:tcPr>
            <w:tcW w:w="17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14.9%</w:t>
            </w:r>
          </w:p>
        </w:tc>
      </w:tr>
      <w:tr w:rsidR="00000000">
        <w:trPr>
          <w:trHeight w:val="544"/>
          <w:jc w:val="center"/>
        </w:trPr>
        <w:tc>
          <w:tcPr>
            <w:tcW w:w="2616" w:type="dxa"/>
          </w:tcPr>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教学条件</w:t>
            </w:r>
          </w:p>
        </w:tc>
        <w:tc>
          <w:tcPr>
            <w:tcW w:w="1813"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15.9%</w:t>
            </w:r>
          </w:p>
        </w:tc>
        <w:tc>
          <w:tcPr>
            <w:tcW w:w="18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69.5%</w:t>
            </w:r>
          </w:p>
        </w:tc>
        <w:tc>
          <w:tcPr>
            <w:tcW w:w="17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14.6%</w:t>
            </w:r>
          </w:p>
        </w:tc>
      </w:tr>
      <w:tr w:rsidR="00000000">
        <w:trPr>
          <w:trHeight w:val="544"/>
          <w:jc w:val="center"/>
        </w:trPr>
        <w:tc>
          <w:tcPr>
            <w:tcW w:w="2616" w:type="dxa"/>
          </w:tcPr>
          <w:p w:rsidR="00000000" w:rsidRDefault="00250BDB">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学习风气</w:t>
            </w:r>
          </w:p>
        </w:tc>
        <w:tc>
          <w:tcPr>
            <w:tcW w:w="1813"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22.6%</w:t>
            </w:r>
          </w:p>
        </w:tc>
        <w:tc>
          <w:tcPr>
            <w:tcW w:w="18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67.8%</w:t>
            </w:r>
          </w:p>
        </w:tc>
        <w:tc>
          <w:tcPr>
            <w:tcW w:w="1762" w:type="dxa"/>
          </w:tcPr>
          <w:p w:rsidR="00000000" w:rsidRDefault="00250BDB">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9.6%</w:t>
            </w:r>
          </w:p>
        </w:tc>
      </w:tr>
    </w:tbl>
    <w:p w:rsidR="00000000" w:rsidRDefault="00250BDB">
      <w:pPr>
        <w:spacing w:line="480" w:lineRule="auto"/>
        <w:ind w:firstLine="555"/>
        <w:jc w:val="left"/>
        <w:rPr>
          <w:rFonts w:ascii="楷体_GB2312" w:eastAsia="楷体_GB2312" w:hAnsi="楷体_GB2312" w:cs="楷体_GB2312"/>
          <w:b/>
          <w:bCs/>
          <w:sz w:val="28"/>
          <w:szCs w:val="28"/>
        </w:rPr>
      </w:pPr>
      <w:r>
        <w:rPr>
          <w:rFonts w:ascii="楷体_GB2312" w:eastAsia="楷体_GB2312" w:hAnsi="楷体_GB2312" w:cs="楷体_GB2312" w:hint="eastAsia"/>
          <w:sz w:val="28"/>
          <w:szCs w:val="28"/>
        </w:rPr>
        <w:t>我院在学生培养过程中注重加强与家长联系，成立家长委员会，保证家长与学校双向交流的通畅，力求把我院办成师生、家长、用人单位和社会都满意的学校。</w:t>
      </w: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rPr>
          <w:rFonts w:ascii="楷体_GB2312" w:eastAsia="楷体_GB2312" w:hAnsi="楷体_GB2312" w:cs="楷体_GB2312" w:hint="eastAsia"/>
          <w:b/>
          <w:bCs/>
          <w:sz w:val="36"/>
          <w:szCs w:val="36"/>
        </w:rPr>
      </w:pPr>
    </w:p>
    <w:p w:rsidR="00000000" w:rsidRDefault="00250BDB">
      <w:pPr>
        <w:spacing w:line="480" w:lineRule="auto"/>
        <w:ind w:left="420"/>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第五部</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今后就业工作的几点思考</w:t>
      </w:r>
    </w:p>
    <w:p w:rsidR="00000000" w:rsidRDefault="00250BDB">
      <w:pPr>
        <w:autoSpaceDE w:val="0"/>
        <w:autoSpaceDN w:val="0"/>
        <w:adjustRightInd w:val="0"/>
        <w:spacing w:line="480" w:lineRule="auto"/>
        <w:jc w:val="left"/>
        <w:rPr>
          <w:rFonts w:ascii="楷体_GB2312" w:eastAsia="楷体_GB2312" w:hAnsi="楷体_GB2312" w:cs="楷体_GB2312"/>
          <w:kern w:val="0"/>
          <w:sz w:val="32"/>
          <w:szCs w:val="32"/>
        </w:rPr>
      </w:pPr>
      <w:r>
        <w:rPr>
          <w:rFonts w:ascii="楷体_GB2312" w:eastAsia="楷体_GB2312" w:hAnsi="楷体_GB2312" w:cs="楷体_GB2312" w:hint="eastAsia"/>
          <w:b/>
          <w:bCs/>
          <w:kern w:val="0"/>
          <w:sz w:val="32"/>
          <w:szCs w:val="32"/>
        </w:rPr>
        <w:t>一、加强就业指导，实施优质服务</w:t>
      </w:r>
    </w:p>
    <w:p w:rsidR="00000000" w:rsidRDefault="00250BDB">
      <w:pPr>
        <w:autoSpaceDE w:val="0"/>
        <w:autoSpaceDN w:val="0"/>
        <w:adjustRightInd w:val="0"/>
        <w:spacing w:line="480" w:lineRule="auto"/>
        <w:ind w:firstLine="555"/>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不断提升就业工作的规范化、制度化、信息化水平</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坚持以学生为中心，开展个性化、全程化跟踪辅导。深入宣传、贯彻国家的各项就业政策和措施，引导、帮助毕业生实现就业。</w:t>
      </w:r>
    </w:p>
    <w:p w:rsidR="00000000" w:rsidRDefault="00250BDB">
      <w:pPr>
        <w:autoSpaceDE w:val="0"/>
        <w:autoSpaceDN w:val="0"/>
        <w:adjustRightInd w:val="0"/>
        <w:spacing w:line="480" w:lineRule="auto"/>
        <w:jc w:val="left"/>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二、深化职业生涯发展教育、教学内涵建设</w:t>
      </w:r>
    </w:p>
    <w:p w:rsidR="00000000" w:rsidRDefault="00250BDB">
      <w:pPr>
        <w:autoSpaceDE w:val="0"/>
        <w:autoSpaceDN w:val="0"/>
        <w:adjustRightInd w:val="0"/>
        <w:spacing w:line="480" w:lineRule="auto"/>
        <w:ind w:firstLine="555"/>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学院已构建形成完整的职业发展教育教学体系，今后需不断深化其内涵建设。在师资队伍建设方面，一是要强化培训，积极推进就业指导教师的职业化、专业化和专家化；二要大力引进各行各业杰出人才和社会职业发展教育专家走进校园，结合校内师资共同开设就业、创业指导类课程，开展个性化职业发展咨询，为学生的职业生涯发展提供支持。配合课程教学主渠道，加强与用人单位合作，使学生在创新创业活动中提升能力，更好符合社会需求。同时，积极开设第二课堂，进一步帮助学生树立正确的职业生涯发展观，提升就业核心</w:t>
      </w:r>
      <w:r>
        <w:rPr>
          <w:rFonts w:ascii="楷体_GB2312" w:eastAsia="楷体_GB2312" w:hAnsi="楷体_GB2312" w:cs="楷体_GB2312" w:hint="eastAsia"/>
          <w:kern w:val="0"/>
          <w:sz w:val="28"/>
          <w:szCs w:val="28"/>
        </w:rPr>
        <w:t>竞争力。</w:t>
      </w:r>
    </w:p>
    <w:p w:rsidR="00000000" w:rsidRDefault="00250BDB">
      <w:pPr>
        <w:spacing w:line="480" w:lineRule="auto"/>
        <w:rPr>
          <w:rFonts w:ascii="楷体_GB2312" w:eastAsia="楷体_GB2312" w:hAnsi="楷体_GB2312" w:cs="楷体_GB2312"/>
          <w:b/>
          <w:bCs/>
          <w:sz w:val="32"/>
          <w:szCs w:val="32"/>
        </w:rPr>
      </w:pPr>
      <w:r>
        <w:rPr>
          <w:rFonts w:ascii="楷体_GB2312" w:eastAsia="楷体_GB2312" w:hAnsi="楷体_GB2312" w:cs="楷体_GB2312" w:hint="eastAsia"/>
          <w:b/>
          <w:bCs/>
          <w:kern w:val="0"/>
          <w:sz w:val="32"/>
          <w:szCs w:val="32"/>
        </w:rPr>
        <w:t>三、拓宽客户管理渠道，使实习与就业同步</w:t>
      </w:r>
    </w:p>
    <w:p w:rsidR="00000000" w:rsidRDefault="00250BDB">
      <w:pPr>
        <w:autoSpaceDE w:val="0"/>
        <w:autoSpaceDN w:val="0"/>
        <w:adjustRightInd w:val="0"/>
        <w:spacing w:line="480" w:lineRule="auto"/>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sz w:val="28"/>
          <w:szCs w:val="28"/>
        </w:rPr>
        <w:t>一方面将用人单位作为目标客户，</w:t>
      </w:r>
      <w:r>
        <w:rPr>
          <w:rFonts w:ascii="楷体_GB2312" w:eastAsia="楷体_GB2312" w:hAnsi="楷体_GB2312" w:cs="楷体_GB2312" w:hint="eastAsia"/>
          <w:kern w:val="0"/>
          <w:sz w:val="28"/>
          <w:szCs w:val="28"/>
        </w:rPr>
        <w:t>由对口的学部、专业与用人单位对接，实现资源的深度共享；另一方面，将实习与就业招聘结合，在每年学生实习动员后举办大型实习暨就业招聘会。学部定期组织专场招聘，针对性地开展就业指导，进一步提高就业工作的实效性。</w:t>
      </w:r>
      <w:r>
        <w:rPr>
          <w:rFonts w:ascii="楷体_GB2312" w:eastAsia="楷体_GB2312" w:hAnsi="楷体_GB2312" w:cs="楷体_GB2312" w:hint="eastAsia"/>
          <w:kern w:val="0"/>
          <w:sz w:val="28"/>
          <w:szCs w:val="28"/>
        </w:rPr>
        <w:t xml:space="preserve"> </w:t>
      </w:r>
    </w:p>
    <w:p w:rsidR="00000000" w:rsidRDefault="00250BDB">
      <w:pPr>
        <w:autoSpaceDE w:val="0"/>
        <w:autoSpaceDN w:val="0"/>
        <w:adjustRightInd w:val="0"/>
        <w:spacing w:line="480" w:lineRule="auto"/>
        <w:jc w:val="left"/>
        <w:rPr>
          <w:rFonts w:ascii="楷体_GB2312" w:eastAsia="楷体_GB2312" w:hAnsi="楷体_GB2312" w:cs="楷体_GB2312" w:hint="eastAsia"/>
          <w:b/>
          <w:bCs/>
          <w:kern w:val="0"/>
          <w:sz w:val="32"/>
          <w:szCs w:val="32"/>
        </w:rPr>
      </w:pPr>
      <w:r>
        <w:rPr>
          <w:rFonts w:ascii="楷体_GB2312" w:eastAsia="楷体_GB2312" w:hAnsi="楷体_GB2312" w:cs="楷体_GB2312" w:hint="eastAsia"/>
          <w:b/>
          <w:bCs/>
          <w:kern w:val="0"/>
          <w:sz w:val="32"/>
          <w:szCs w:val="32"/>
        </w:rPr>
        <w:t>四、组建创业联盟，深化校企合作</w:t>
      </w:r>
    </w:p>
    <w:p w:rsidR="00000000" w:rsidRDefault="00250BDB">
      <w:pPr>
        <w:autoSpaceDE w:val="0"/>
        <w:autoSpaceDN w:val="0"/>
        <w:adjustRightInd w:val="0"/>
        <w:spacing w:line="480" w:lineRule="auto"/>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 xml:space="preserve">   </w:t>
      </w:r>
      <w:r>
        <w:rPr>
          <w:rFonts w:ascii="楷体_GB2312" w:eastAsia="楷体_GB2312" w:hAnsi="楷体_GB2312" w:cs="楷体_GB2312" w:hint="eastAsia"/>
          <w:kern w:val="0"/>
          <w:sz w:val="28"/>
          <w:szCs w:val="28"/>
        </w:rPr>
        <w:t>在“大众创业、万众创新”的大背景下，要大力推进大学生创新</w:t>
      </w:r>
      <w:r>
        <w:rPr>
          <w:rFonts w:ascii="楷体_GB2312" w:eastAsia="楷体_GB2312" w:hAnsi="楷体_GB2312" w:cs="楷体_GB2312" w:hint="eastAsia"/>
          <w:kern w:val="0"/>
          <w:sz w:val="28"/>
          <w:szCs w:val="28"/>
        </w:rPr>
        <w:lastRenderedPageBreak/>
        <w:t>创业教育，进行分层、分类指导。一方面，对全体在校生进行创新创业教育，旨在激发学生的创新创业意识，培养创新创业精神；另一方面，对有创</w:t>
      </w:r>
      <w:r>
        <w:rPr>
          <w:rFonts w:ascii="楷体_GB2312" w:eastAsia="楷体_GB2312" w:hAnsi="楷体_GB2312" w:cs="楷体_GB2312" w:hint="eastAsia"/>
          <w:kern w:val="0"/>
          <w:sz w:val="28"/>
          <w:szCs w:val="28"/>
        </w:rPr>
        <w:t>业意愿的学生进行重点扶持，通过引进项目、邀请成功创业校友、校企合作单位、家长委员会成员举办创业讲座或担任创业导师，分享创业经验及方法，带领学生到企业进行实践等，组织创业训练营系列活动，开展创业计划大赛、模拟创业实训等活动。随着创新创业教育和创业实践的深入，组建校地、校企创业合作联盟，进一步扩大创新创业规模，深化创新创业内涵建设。</w:t>
      </w:r>
    </w:p>
    <w:p w:rsidR="00000000" w:rsidRDefault="00250BDB">
      <w:pPr>
        <w:autoSpaceDE w:val="0"/>
        <w:autoSpaceDN w:val="0"/>
        <w:adjustRightInd w:val="0"/>
        <w:spacing w:line="480" w:lineRule="auto"/>
        <w:jc w:val="left"/>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五、不断创新人才培养模式，提升教育教学质量</w:t>
      </w:r>
    </w:p>
    <w:p w:rsidR="00000000" w:rsidRDefault="00250BDB">
      <w:pPr>
        <w:autoSpaceDE w:val="0"/>
        <w:autoSpaceDN w:val="0"/>
        <w:adjustRightInd w:val="0"/>
        <w:spacing w:line="480" w:lineRule="auto"/>
        <w:ind w:firstLineChars="200" w:firstLine="56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围绕应用型人才培养目标定位，走错位化、差异化、特色化发展之路，完善“</w:t>
      </w:r>
      <w:r>
        <w:rPr>
          <w:rFonts w:ascii="楷体_GB2312" w:eastAsia="楷体_GB2312" w:hAnsi="楷体_GB2312" w:cs="楷体_GB2312" w:hint="eastAsia"/>
          <w:kern w:val="0"/>
          <w:sz w:val="28"/>
          <w:szCs w:val="28"/>
        </w:rPr>
        <w:t>3+1</w:t>
      </w:r>
      <w:r>
        <w:rPr>
          <w:rFonts w:ascii="楷体_GB2312" w:eastAsia="楷体_GB2312" w:hAnsi="楷体_GB2312" w:cs="楷体_GB2312" w:hint="eastAsia"/>
          <w:kern w:val="0"/>
          <w:sz w:val="28"/>
          <w:szCs w:val="28"/>
        </w:rPr>
        <w:t>”（四年制本科）、“</w:t>
      </w:r>
      <w:r>
        <w:rPr>
          <w:rFonts w:ascii="楷体_GB2312" w:eastAsia="楷体_GB2312" w:hAnsi="楷体_GB2312" w:cs="楷体_GB2312" w:hint="eastAsia"/>
          <w:kern w:val="0"/>
          <w:sz w:val="28"/>
          <w:szCs w:val="28"/>
        </w:rPr>
        <w:t>3+1+1</w:t>
      </w:r>
      <w:r>
        <w:rPr>
          <w:rFonts w:ascii="楷体_GB2312" w:eastAsia="楷体_GB2312" w:hAnsi="楷体_GB2312" w:cs="楷体_GB2312" w:hint="eastAsia"/>
          <w:kern w:val="0"/>
          <w:sz w:val="28"/>
          <w:szCs w:val="28"/>
        </w:rPr>
        <w:t>”（五年制本科）人才培养模式，努</w:t>
      </w:r>
      <w:r>
        <w:rPr>
          <w:rFonts w:ascii="楷体_GB2312" w:eastAsia="楷体_GB2312" w:hAnsi="楷体_GB2312" w:cs="楷体_GB2312" w:hint="eastAsia"/>
          <w:kern w:val="0"/>
          <w:sz w:val="28"/>
          <w:szCs w:val="28"/>
        </w:rPr>
        <w:t>力把行业企业对人才的综合素质和岗位的职业能力要求体现到教学内容和教学要求中，实现课堂教学与职业岗位的真正对接，推行实训、顶岗实习等实践教学改革，强调学历证书与职业资格证（技术等级证）双证制。</w:t>
      </w:r>
    </w:p>
    <w:p w:rsidR="00250BDB" w:rsidRDefault="00250BDB">
      <w:pPr>
        <w:autoSpaceDE w:val="0"/>
        <w:autoSpaceDN w:val="0"/>
        <w:adjustRightInd w:val="0"/>
        <w:spacing w:line="480" w:lineRule="auto"/>
        <w:ind w:firstLineChars="200" w:firstLine="560"/>
        <w:jc w:val="left"/>
        <w:rPr>
          <w:rFonts w:ascii="楷体_GB2312" w:eastAsia="楷体_GB2312" w:hAnsi="楷体_GB2312" w:cs="楷体_GB2312"/>
          <w:kern w:val="0"/>
          <w:sz w:val="28"/>
          <w:szCs w:val="28"/>
        </w:rPr>
      </w:pPr>
    </w:p>
    <w:sectPr w:rsidR="00250BDB">
      <w:footerReference w:type="default" r:id="rId42"/>
      <w:footerReference w:type="first" r:id="rId43"/>
      <w:pgSz w:w="11906" w:h="16838"/>
      <w:pgMar w:top="1440" w:right="1797" w:bottom="1440" w:left="1797" w:header="851" w:footer="992" w:gutter="0"/>
      <w:pgNumType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BDB" w:rsidRDefault="00250BDB">
      <w:r>
        <w:separator/>
      </w:r>
    </w:p>
  </w:endnote>
  <w:endnote w:type="continuationSeparator" w:id="1">
    <w:p w:rsidR="00250BDB" w:rsidRDefault="00250B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4"/>
      <w:framePr w:wrap="around" w:vAnchor="text" w:hAnchor="margin" w:xAlign="center" w:y="1"/>
      <w:rPr>
        <w:rStyle w:val="a3"/>
      </w:rPr>
    </w:pPr>
    <w:r>
      <w:fldChar w:fldCharType="begin"/>
    </w:r>
    <w:r>
      <w:rPr>
        <w:rStyle w:val="a3"/>
      </w:rPr>
      <w:instrText xml:space="preserve">PAGE  </w:instrText>
    </w:r>
    <w:r>
      <w:fldChar w:fldCharType="end"/>
    </w:r>
  </w:p>
  <w:p w:rsidR="00000000" w:rsidRDefault="00250BD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4"/>
    </w:pPr>
    <w:r>
      <w:pict>
        <v:shapetype id="_x0000_t202" coordsize="21600,21600" o:spt="202" path="m,l,21600r21600,l21600,xe">
          <v:stroke joinstyle="miter"/>
          <v:path gradientshapeok="t" o:connecttype="rect"/>
        </v:shapetype>
        <v:shape id="文本框 20" o:spid="_x0000_s2068" type="#_x0000_t202" style="position:absolute;margin-left:0;margin-top:0;width:2in;height:2in;z-index:251660288;mso-wrap-style:none;mso-position-horizontal:center;mso-position-horizontal-relative:margin" filled="f" stroked="f" strokeweight="1.25pt">
          <v:fill o:detectmouseclick="t"/>
          <v:textbox style="mso-fit-shape-to-text:t" inset="0,0,0,0">
            <w:txbxContent>
              <w:p w:rsidR="00000000" w:rsidRDefault="00250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4"/>
      <w:jc w:val="center"/>
    </w:pPr>
    <w:r>
      <w:pict>
        <v:shapetype id="_x0000_t202" coordsize="21600,21600" o:spt="202" path="m,l,21600r21600,l21600,xe">
          <v:stroke joinstyle="miter"/>
          <v:path gradientshapeok="t" o:connecttype="rect"/>
        </v:shapetype>
        <v:shape id="文本框 21" o:spid="_x0000_s2069" type="#_x0000_t202" style="position:absolute;left:0;text-align:left;margin-left:0;margin-top:0;width:2in;height:2in;z-index:251661312;mso-wrap-style:none;mso-position-horizontal:center;mso-position-horizontal-relative:margin" filled="f" stroked="f" strokeweight="1.25pt">
          <v:fill o:detectmouseclick="t"/>
          <v:textbox style="mso-fit-shape-to-text:t" inset="0,0,0,0">
            <w:txbxContent>
              <w:p w:rsidR="00000000" w:rsidRDefault="00250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86454" w:rsidRPr="00F86454">
                  <w:rPr>
                    <w:noProof/>
                    <w:lang w:val="en-US" w:eastAsia="zh-CN"/>
                  </w:rPr>
                  <w:t>I</w:t>
                </w:r>
                <w:r>
                  <w:rPr>
                    <w:rFonts w:hint="eastAsia"/>
                    <w:sz w:val="18"/>
                  </w:rPr>
                  <w:fldChar w:fldCharType="end"/>
                </w:r>
              </w:p>
            </w:txbxContent>
          </v:textbox>
          <w10:wrap anchorx="margin"/>
        </v:shape>
      </w:pict>
    </w:r>
  </w:p>
  <w:p w:rsidR="00000000" w:rsidRDefault="00250BDB">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4"/>
    </w:pPr>
    <w:r>
      <w:pict>
        <v:shapetype id="_x0000_t202" coordsize="21600,21600" o:spt="202" path="m,l,21600r21600,l21600,xe">
          <v:stroke joinstyle="miter"/>
          <v:path gradientshapeok="t" o:connecttype="rect"/>
        </v:shapetype>
        <v:shape id="文本框 14" o:spid="_x0000_s2062" type="#_x0000_t202" style="position:absolute;margin-left:0;margin-top:0;width:2in;height:2in;z-index:251656192;mso-wrap-style:none;mso-position-horizontal:center;mso-position-horizontal-relative:margin" filled="f" stroked="f" strokeweight="1.25pt">
          <v:fill o:detectmouseclick="t"/>
          <v:textbox style="mso-fit-shape-to-text:t" inset="0,0,0,0">
            <w:txbxContent>
              <w:p w:rsidR="00000000" w:rsidRDefault="00250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86454" w:rsidRPr="00F86454">
                  <w:rPr>
                    <w:noProof/>
                    <w:lang w:val="en-US" w:eastAsia="zh-CN"/>
                  </w:rPr>
                  <w:t>III</w:t>
                </w:r>
                <w:r>
                  <w:rPr>
                    <w:rFonts w:hint="eastAsia"/>
                    <w:sz w:val="18"/>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4"/>
      <w:jc w:val="center"/>
    </w:pPr>
    <w:r>
      <w:pict>
        <v:shapetype id="_x0000_t202" coordsize="21600,21600" o:spt="202" path="m,l,21600r21600,l21600,xe">
          <v:stroke joinstyle="miter"/>
          <v:path gradientshapeok="t" o:connecttype="rect"/>
        </v:shapetype>
        <v:shape id="文本框 15" o:spid="_x0000_s2063" type="#_x0000_t202" style="position:absolute;left:0;text-align:left;margin-left:0;margin-top:0;width:2in;height:2in;z-index:251657216;mso-wrap-style:none;mso-position-horizontal:center;mso-position-horizontal-relative:margin" filled="f" stroked="f" strokeweight="1.25pt">
          <v:fill o:detectmouseclick="t"/>
          <v:textbox style="mso-fit-shape-to-text:t" inset="0,0,0,0">
            <w:txbxContent>
              <w:p w:rsidR="00000000" w:rsidRDefault="00250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86454" w:rsidRPr="00F86454">
                  <w:rPr>
                    <w:noProof/>
                    <w:lang w:val="en-US" w:eastAsia="zh-CN"/>
                  </w:rPr>
                  <w:t>I</w:t>
                </w:r>
                <w:r>
                  <w:rPr>
                    <w:rFonts w:hint="eastAsia"/>
                    <w:sz w:val="18"/>
                  </w:rPr>
                  <w:fldChar w:fldCharType="end"/>
                </w:r>
              </w:p>
            </w:txbxContent>
          </v:textbox>
          <w10:wrap anchorx="margin"/>
        </v:shape>
      </w:pict>
    </w:r>
  </w:p>
  <w:p w:rsidR="00000000" w:rsidRDefault="00250BDB">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4"/>
    </w:pPr>
    <w:r>
      <w:pict>
        <v:shapetype id="_x0000_t202" coordsize="21600,21600" o:spt="202" path="m,l,21600r21600,l21600,xe">
          <v:stroke joinstyle="miter"/>
          <v:path gradientshapeok="t" o:connecttype="rect"/>
        </v:shapetype>
        <v:shape id="文本框 18" o:spid="_x0000_s2066" type="#_x0000_t202" style="position:absolute;margin-left:0;margin-top:0;width:2in;height:2in;z-index:251658240;mso-wrap-style:none;mso-position-horizontal:center;mso-position-horizontal-relative:margin" filled="f" stroked="f" strokeweight="1.25pt">
          <v:fill o:detectmouseclick="t"/>
          <v:textbox style="mso-fit-shape-to-text:t" inset="0,0,0,0">
            <w:txbxContent>
              <w:p w:rsidR="00000000" w:rsidRDefault="00250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86454" w:rsidRPr="00F86454">
                  <w:rPr>
                    <w:noProof/>
                    <w:lang w:val="en-US" w:eastAsia="zh-CN"/>
                  </w:rPr>
                  <w:t>31</w:t>
                </w:r>
                <w:r>
                  <w:rPr>
                    <w:rFonts w:hint="eastAsia"/>
                    <w:sz w:val="18"/>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4"/>
      <w:jc w:val="center"/>
    </w:pPr>
    <w:r>
      <w:pict>
        <v:shapetype id="_x0000_t202" coordsize="21600,21600" o:spt="202" path="m,l,21600r21600,l21600,xe">
          <v:stroke joinstyle="miter"/>
          <v:path gradientshapeok="t" o:connecttype="rect"/>
        </v:shapetype>
        <v:shape id="文本框 19" o:spid="_x0000_s2067" type="#_x0000_t202" style="position:absolute;left:0;text-align:left;margin-left:0;margin-top:0;width:2in;height:2in;z-index:251659264;mso-wrap-style:none;mso-position-horizontal:center;mso-position-horizontal-relative:margin" filled="f" stroked="f" strokeweight="1.25pt">
          <v:fill o:detectmouseclick="t"/>
          <v:textbox style="mso-fit-shape-to-text:t" inset="0,0,0,0">
            <w:txbxContent>
              <w:p w:rsidR="00000000" w:rsidRDefault="00250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86454" w:rsidRPr="00F86454">
                  <w:rPr>
                    <w:noProof/>
                    <w:lang w:val="en-US" w:eastAsia="zh-CN"/>
                  </w:rPr>
                  <w:t>1</w:t>
                </w:r>
                <w:r>
                  <w:rPr>
                    <w:rFonts w:hint="eastAsia"/>
                    <w:sz w:val="18"/>
                  </w:rPr>
                  <w:fldChar w:fldCharType="end"/>
                </w:r>
              </w:p>
            </w:txbxContent>
          </v:textbox>
          <w10:wrap anchorx="margin"/>
        </v:shape>
      </w:pict>
    </w:r>
  </w:p>
  <w:p w:rsidR="00000000" w:rsidRDefault="00250BD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BDB" w:rsidRDefault="00250BDB">
      <w:r>
        <w:separator/>
      </w:r>
    </w:p>
  </w:footnote>
  <w:footnote w:type="continuationSeparator" w:id="1">
    <w:p w:rsidR="00250BDB" w:rsidRDefault="00250B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454" w:rsidRDefault="00F8645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5"/>
      <w:tabs>
        <w:tab w:val="clear" w:pos="8306"/>
      </w:tabs>
      <w:jc w:val="both"/>
    </w:pPr>
    <w:r>
      <w:pict>
        <v:shapetype id="_x0000_t202" coordsize="21600,21600" o:spt="202" path="m,l,21600r21600,l21600,xe">
          <v:stroke joinstyle="miter"/>
          <v:path gradientshapeok="t" o:connecttype="rect"/>
        </v:shapetype>
        <v:shape id="文本框 3" o:spid="_x0000_s2051" type="#_x0000_t202" style="position:absolute;left:0;text-align:left;margin-left:0;margin-top:0;width:2in;height:2in;z-index:251654144;mso-wrap-style:none;mso-position-horizontal:center;mso-position-horizontal-relative:margin" filled="f" stroked="f" strokeweight="1.25pt">
          <v:fill o:detectmouseclick="t"/>
          <v:textbox style="mso-fit-shape-to-text:t" inset="0,0,0,0">
            <w:txbxContent>
              <w:p w:rsidR="00000000" w:rsidRDefault="00250BDB">
                <w:pPr>
                  <w:snapToGrid w:val="0"/>
                  <w:rPr>
                    <w:rFonts w:hint="eastAsia"/>
                    <w:sz w:val="18"/>
                  </w:rPr>
                </w:pPr>
                <w:r>
                  <w:rPr>
                    <w:rFonts w:hint="eastAsia"/>
                    <w:sz w:val="18"/>
                  </w:rPr>
                  <w:fldChar w:fldCharType="begin"/>
                </w:r>
                <w:r>
                  <w:rPr>
                    <w:rFonts w:hint="eastAsia"/>
                    <w:sz w:val="18"/>
                  </w:rPr>
                  <w:instrText xml:space="preserve"> PAGE  \* </w:instrText>
                </w:r>
                <w:r>
                  <w:rPr>
                    <w:rFonts w:hint="eastAsia"/>
                    <w:sz w:val="18"/>
                  </w:rPr>
                  <w:instrText xml:space="preserve">MERGEFORMAT </w:instrText>
                </w:r>
                <w:r>
                  <w:rPr>
                    <w:rFonts w:hint="eastAsia"/>
                    <w:sz w:val="18"/>
                  </w:rPr>
                  <w:fldChar w:fldCharType="separate"/>
                </w:r>
                <w:r>
                  <w:t>I</w:t>
                </w:r>
                <w:r>
                  <w:rPr>
                    <w:rFonts w:hint="eastAsia"/>
                    <w:sz w:val="18"/>
                  </w:rPr>
                  <w:fldChar w:fldCharType="end"/>
                </w:r>
              </w:p>
            </w:txbxContent>
          </v:textbox>
          <w10:wrap anchorx="margin"/>
        </v:shape>
      </w:pict>
    </w:r>
    <w:r w:rsidR="00F86454">
      <w:rPr>
        <w:noProof/>
      </w:rPr>
      <w:drawing>
        <wp:inline distT="0" distB="0" distL="0" distR="0">
          <wp:extent cx="200025" cy="200025"/>
          <wp:effectExtent l="19050" t="0" r="9525" b="0"/>
          <wp:docPr id="25" name="Picture 23" descr="校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校徽1"/>
                  <pic:cNvPicPr>
                    <a:picLocks noChangeAspect="1" noChangeArrowheads="1"/>
                  </pic:cNvPicPr>
                </pic:nvPicPr>
                <pic:blipFill>
                  <a:blip r:embed="rId1"/>
                  <a:srcRect/>
                  <a:stretch>
                    <a:fillRect/>
                  </a:stretch>
                </pic:blipFill>
                <pic:spPr bwMode="auto">
                  <a:xfrm>
                    <a:off x="0" y="0"/>
                    <a:ext cx="200025" cy="200025"/>
                  </a:xfrm>
                  <a:prstGeom prst="rect">
                    <a:avLst/>
                  </a:prstGeom>
                  <a:noFill/>
                  <a:ln w="9525" cmpd="sng">
                    <a:noFill/>
                    <a:miter lim="800000"/>
                    <a:headEnd/>
                    <a:tailEnd/>
                  </a:ln>
                </pic:spPr>
              </pic:pic>
            </a:graphicData>
          </a:graphic>
        </wp:inline>
      </w:drawing>
    </w:r>
    <w:r w:rsidR="00F86454">
      <w:rPr>
        <w:noProof/>
      </w:rPr>
      <w:drawing>
        <wp:inline distT="0" distB="0" distL="0" distR="0">
          <wp:extent cx="1200150" cy="180975"/>
          <wp:effectExtent l="19050" t="0" r="0" b="0"/>
          <wp:docPr id="26"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2"/>
                  <a:srcRect/>
                  <a:stretch>
                    <a:fillRect/>
                  </a:stretch>
                </pic:blipFill>
                <pic:spPr bwMode="auto">
                  <a:xfrm>
                    <a:off x="0" y="0"/>
                    <a:ext cx="1200150" cy="180975"/>
                  </a:xfrm>
                  <a:prstGeom prst="rect">
                    <a:avLst/>
                  </a:prstGeom>
                  <a:noFill/>
                  <a:ln w="9525" cmpd="sng">
                    <a:noFill/>
                    <a:miter lim="800000"/>
                    <a:headEnd/>
                    <a:tailEnd/>
                  </a:ln>
                </pic:spPr>
              </pic:pic>
            </a:graphicData>
          </a:graphic>
        </wp:inline>
      </w:drawing>
    </w:r>
    <w:r>
      <w:rPr>
        <w:rFonts w:hint="eastAsia"/>
      </w:rPr>
      <w:tab/>
    </w:r>
    <w:r>
      <w:rPr>
        <w:rFonts w:hint="eastAsia"/>
      </w:rPr>
      <w:t xml:space="preserve">                                           2015</w:t>
    </w:r>
    <w:r>
      <w:rPr>
        <w:rFonts w:hint="eastAsia"/>
      </w:rPr>
      <w:t>届毕业生就业质量报告</w:t>
    </w:r>
    <w:r>
      <w:t xml:space="preserve"> </w:t>
    </w:r>
  </w:p>
  <w:p w:rsidR="00000000" w:rsidRDefault="00250BD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50BDB">
    <w:pPr>
      <w:pStyle w:val="a5"/>
    </w:pPr>
    <w:r>
      <w:pict>
        <v:shapetype id="_x0000_t202" coordsize="21600,21600" o:spt="202" path="m,l,21600r21600,l21600,xe">
          <v:stroke joinstyle="miter"/>
          <v:path gradientshapeok="t" o:connecttype="rect"/>
        </v:shapetype>
        <v:shape id="文本框 4" o:spid="_x0000_s2052" type="#_x0000_t202" style="position:absolute;left:0;text-align:left;margin-left:0;margin-top:0;width:2in;height:2in;z-index:251655168;mso-wrap-style:none;mso-position-horizontal:center;mso-position-horizontal-relative:margin" filled="f" stroked="f" strokeweight="1.25pt">
          <v:fill o:detectmouseclick="t"/>
          <v:textbox style="mso-fit-shape-to-text:t" inset="0,0,0,0">
            <w:txbxContent>
              <w:p w:rsidR="00000000" w:rsidRDefault="00250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86454" w:rsidRPr="00F86454">
                  <w:rPr>
                    <w:noProof/>
                    <w:lang w:val="en-US" w:eastAsia="zh-CN"/>
                  </w:rPr>
                  <w:t>I</w:t>
                </w:r>
                <w:r>
                  <w:rPr>
                    <w:rFonts w:hint="eastAsia"/>
                    <w:sz w:val="18"/>
                  </w:rPr>
                  <w:fldChar w:fldCharType="end"/>
                </w:r>
              </w:p>
            </w:txbxContent>
          </v:textbox>
          <w10:wrap anchorx="margin"/>
        </v:shape>
      </w:pict>
    </w:r>
    <w:r w:rsidR="00F86454">
      <w:rPr>
        <w:noProof/>
      </w:rPr>
      <w:drawing>
        <wp:inline distT="0" distB="0" distL="0" distR="0">
          <wp:extent cx="200025" cy="200025"/>
          <wp:effectExtent l="19050" t="0" r="9525" b="0"/>
          <wp:docPr id="1" name="Picture 25" descr="校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校徽1"/>
                  <pic:cNvPicPr>
                    <a:picLocks noChangeAspect="1" noChangeArrowheads="1"/>
                  </pic:cNvPicPr>
                </pic:nvPicPr>
                <pic:blipFill>
                  <a:blip r:embed="rId1"/>
                  <a:srcRect/>
                  <a:stretch>
                    <a:fillRect/>
                  </a:stretch>
                </pic:blipFill>
                <pic:spPr bwMode="auto">
                  <a:xfrm>
                    <a:off x="0" y="0"/>
                    <a:ext cx="200025" cy="200025"/>
                  </a:xfrm>
                  <a:prstGeom prst="rect">
                    <a:avLst/>
                  </a:prstGeom>
                  <a:noFill/>
                  <a:ln w="9525" cmpd="sng">
                    <a:noFill/>
                    <a:miter lim="800000"/>
                    <a:headEnd/>
                    <a:tailEnd/>
                  </a:ln>
                </pic:spPr>
              </pic:pic>
            </a:graphicData>
          </a:graphic>
        </wp:inline>
      </w:drawing>
    </w:r>
    <w:r w:rsidR="00F86454">
      <w:rPr>
        <w:noProof/>
      </w:rPr>
      <w:drawing>
        <wp:inline distT="0" distB="0" distL="0" distR="0">
          <wp:extent cx="1200150" cy="180975"/>
          <wp:effectExtent l="19050" t="0" r="0" b="0"/>
          <wp:docPr id="2" name="Picture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2"/>
                  <a:srcRect/>
                  <a:stretch>
                    <a:fillRect/>
                  </a:stretch>
                </pic:blipFill>
                <pic:spPr bwMode="auto">
                  <a:xfrm>
                    <a:off x="0" y="0"/>
                    <a:ext cx="1200150" cy="180975"/>
                  </a:xfrm>
                  <a:prstGeom prst="rect">
                    <a:avLst/>
                  </a:prstGeom>
                  <a:noFill/>
                  <a:ln w="9525" cmpd="sng">
                    <a:noFill/>
                    <a:miter lim="800000"/>
                    <a:headEnd/>
                    <a:tailEnd/>
                  </a:ln>
                </pic:spPr>
              </pic:pic>
            </a:graphicData>
          </a:graphic>
        </wp:inline>
      </w:drawing>
    </w:r>
    <w:r>
      <w:rPr>
        <w:rFonts w:hint="eastAsia"/>
      </w:rPr>
      <w:tab/>
    </w:r>
    <w:r>
      <w:rPr>
        <w:rFonts w:hint="eastAsia"/>
      </w:rPr>
      <w:t xml:space="preserve">                                           2014</w:t>
    </w:r>
    <w:r>
      <w:rPr>
        <w:rFonts w:hint="eastAsia"/>
      </w:rPr>
      <w:t>届毕业生就业质量报告</w:t>
    </w: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86454">
    <w:pPr>
      <w:pStyle w:val="a5"/>
      <w:tabs>
        <w:tab w:val="clear" w:pos="8306"/>
      </w:tabs>
      <w:jc w:val="both"/>
    </w:pPr>
    <w:r>
      <w:rPr>
        <w:noProof/>
      </w:rPr>
      <w:drawing>
        <wp:inline distT="0" distB="0" distL="0" distR="0">
          <wp:extent cx="200025" cy="200025"/>
          <wp:effectExtent l="19050" t="0" r="9525" b="0"/>
          <wp:docPr id="27" name="图片 27" descr="校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校徽1"/>
                  <pic:cNvPicPr>
                    <a:picLocks noChangeAspect="1" noChangeArrowheads="1"/>
                  </pic:cNvPicPr>
                </pic:nvPicPr>
                <pic:blipFill>
                  <a:blip r:embed="rId1"/>
                  <a:srcRect/>
                  <a:stretch>
                    <a:fillRect/>
                  </a:stretch>
                </pic:blipFill>
                <pic:spPr bwMode="auto">
                  <a:xfrm>
                    <a:off x="0" y="0"/>
                    <a:ext cx="200025" cy="200025"/>
                  </a:xfrm>
                  <a:prstGeom prst="rect">
                    <a:avLst/>
                  </a:prstGeom>
                  <a:noFill/>
                  <a:ln w="9525" cmpd="sng">
                    <a:noFill/>
                    <a:miter lim="800000"/>
                    <a:headEnd/>
                    <a:tailEnd/>
                  </a:ln>
                </pic:spPr>
              </pic:pic>
            </a:graphicData>
          </a:graphic>
        </wp:inline>
      </w:drawing>
    </w:r>
    <w:r>
      <w:rPr>
        <w:noProof/>
      </w:rPr>
      <w:drawing>
        <wp:inline distT="0" distB="0" distL="0" distR="0">
          <wp:extent cx="1200150" cy="180975"/>
          <wp:effectExtent l="19050" t="0" r="0" b="0"/>
          <wp:docPr id="28"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2"/>
                  <pic:cNvPicPr>
                    <a:picLocks noChangeAspect="1" noChangeArrowheads="1"/>
                  </pic:cNvPicPr>
                </pic:nvPicPr>
                <pic:blipFill>
                  <a:blip r:embed="rId2"/>
                  <a:srcRect/>
                  <a:stretch>
                    <a:fillRect/>
                  </a:stretch>
                </pic:blipFill>
                <pic:spPr bwMode="auto">
                  <a:xfrm>
                    <a:off x="0" y="0"/>
                    <a:ext cx="1200150" cy="180975"/>
                  </a:xfrm>
                  <a:prstGeom prst="rect">
                    <a:avLst/>
                  </a:prstGeom>
                  <a:noFill/>
                  <a:ln w="9525" cmpd="sng">
                    <a:noFill/>
                    <a:miter lim="800000"/>
                    <a:headEnd/>
                    <a:tailEnd/>
                  </a:ln>
                </pic:spPr>
              </pic:pic>
            </a:graphicData>
          </a:graphic>
        </wp:inline>
      </w:drawing>
    </w:r>
    <w:r w:rsidR="00250BDB">
      <w:rPr>
        <w:rFonts w:hint="eastAsia"/>
      </w:rPr>
      <w:tab/>
    </w:r>
    <w:r w:rsidR="00250BDB">
      <w:rPr>
        <w:rFonts w:hint="eastAsia"/>
      </w:rPr>
      <w:t xml:space="preserve">        </w:t>
    </w:r>
    <w:r w:rsidR="00250BDB">
      <w:rPr>
        <w:rFonts w:hint="eastAsia"/>
      </w:rPr>
      <w:t xml:space="preserve">                                   2015</w:t>
    </w:r>
    <w:r w:rsidR="00250BDB">
      <w:rPr>
        <w:rFonts w:hint="eastAsia"/>
      </w:rPr>
      <w:t>届毕业生就业质量报告</w:t>
    </w:r>
    <w:r w:rsidR="00250BDB">
      <w:t xml:space="preserve"> </w:t>
    </w:r>
  </w:p>
  <w:p w:rsidR="00000000" w:rsidRDefault="00250BD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86454">
    <w:pPr>
      <w:pStyle w:val="a5"/>
    </w:pPr>
    <w:r>
      <w:rPr>
        <w:noProof/>
      </w:rPr>
      <w:drawing>
        <wp:inline distT="0" distB="0" distL="0" distR="0">
          <wp:extent cx="200025" cy="200025"/>
          <wp:effectExtent l="19050" t="0" r="9525" b="0"/>
          <wp:docPr id="3" name="Picture 27" descr="校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校徽1"/>
                  <pic:cNvPicPr>
                    <a:picLocks noChangeAspect="1" noChangeArrowheads="1"/>
                  </pic:cNvPicPr>
                </pic:nvPicPr>
                <pic:blipFill>
                  <a:blip r:embed="rId1"/>
                  <a:srcRect/>
                  <a:stretch>
                    <a:fillRect/>
                  </a:stretch>
                </pic:blipFill>
                <pic:spPr bwMode="auto">
                  <a:xfrm>
                    <a:off x="0" y="0"/>
                    <a:ext cx="200025" cy="200025"/>
                  </a:xfrm>
                  <a:prstGeom prst="rect">
                    <a:avLst/>
                  </a:prstGeom>
                  <a:noFill/>
                  <a:ln w="9525" cmpd="sng">
                    <a:noFill/>
                    <a:miter lim="800000"/>
                    <a:headEnd/>
                    <a:tailEnd/>
                  </a:ln>
                </pic:spPr>
              </pic:pic>
            </a:graphicData>
          </a:graphic>
        </wp:inline>
      </w:drawing>
    </w:r>
    <w:r>
      <w:rPr>
        <w:noProof/>
      </w:rPr>
      <w:drawing>
        <wp:inline distT="0" distB="0" distL="0" distR="0">
          <wp:extent cx="1200150" cy="180975"/>
          <wp:effectExtent l="19050" t="0" r="0" b="0"/>
          <wp:docPr id="4"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2"/>
                  <a:srcRect/>
                  <a:stretch>
                    <a:fillRect/>
                  </a:stretch>
                </pic:blipFill>
                <pic:spPr bwMode="auto">
                  <a:xfrm>
                    <a:off x="0" y="0"/>
                    <a:ext cx="1200150" cy="180975"/>
                  </a:xfrm>
                  <a:prstGeom prst="rect">
                    <a:avLst/>
                  </a:prstGeom>
                  <a:noFill/>
                  <a:ln w="9525" cmpd="sng">
                    <a:noFill/>
                    <a:miter lim="800000"/>
                    <a:headEnd/>
                    <a:tailEnd/>
                  </a:ln>
                </pic:spPr>
              </pic:pic>
            </a:graphicData>
          </a:graphic>
        </wp:inline>
      </w:drawing>
    </w:r>
    <w:r w:rsidR="00250BDB">
      <w:rPr>
        <w:rFonts w:hint="eastAsia"/>
      </w:rPr>
      <w:tab/>
    </w:r>
    <w:r w:rsidR="00250BDB">
      <w:rPr>
        <w:rFonts w:hint="eastAsia"/>
      </w:rPr>
      <w:t xml:space="preserve">                                          2015</w:t>
    </w:r>
    <w:r w:rsidR="00250BDB">
      <w:rPr>
        <w:rFonts w:hint="eastAsia"/>
      </w:rPr>
      <w:t>届毕业生就业质量报告</w:t>
    </w:r>
    <w:r w:rsidR="00250BD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0BA3"/>
    <w:multiLevelType w:val="multilevel"/>
    <w:tmpl w:val="07C40BA3"/>
    <w:lvl w:ilvl="0">
      <w:start w:val="1"/>
      <w:numFmt w:val="japaneseCounting"/>
      <w:lvlText w:val="（%1）"/>
      <w:lvlJc w:val="left"/>
      <w:pPr>
        <w:ind w:left="1305" w:hanging="88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13874CC2"/>
    <w:multiLevelType w:val="multilevel"/>
    <w:tmpl w:val="13874CC2"/>
    <w:lvl w:ilvl="0">
      <w:start w:val="1"/>
      <w:numFmt w:val="japaneseCounting"/>
      <w:lvlText w:val="（%1）"/>
      <w:lvlJc w:val="left"/>
      <w:pPr>
        <w:ind w:left="1080" w:hanging="108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E9903CA"/>
    <w:multiLevelType w:val="multilevel"/>
    <w:tmpl w:val="1E9903CA"/>
    <w:lvl w:ilvl="0">
      <w:start w:val="1"/>
      <w:numFmt w:val="japaneseCounting"/>
      <w:lvlText w:val="（%1）"/>
      <w:lvlJc w:val="left"/>
      <w:pPr>
        <w:ind w:left="1305" w:hanging="88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39953A3"/>
    <w:multiLevelType w:val="multilevel"/>
    <w:tmpl w:val="239953A3"/>
    <w:lvl w:ilvl="0">
      <w:start w:val="1"/>
      <w:numFmt w:val="japaneseCounting"/>
      <w:lvlText w:val="（%1）"/>
      <w:lvlJc w:val="left"/>
      <w:pPr>
        <w:ind w:left="885" w:hanging="88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868488F"/>
    <w:multiLevelType w:val="multilevel"/>
    <w:tmpl w:val="2868488F"/>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4A94C42"/>
    <w:multiLevelType w:val="singleLevel"/>
    <w:tmpl w:val="54A94C42"/>
    <w:lvl w:ilvl="0">
      <w:start w:val="2"/>
      <w:numFmt w:val="chineseCounting"/>
      <w:suff w:val="nothing"/>
      <w:lvlText w:val="（%1）"/>
      <w:lvlJc w:val="left"/>
    </w:lvl>
  </w:abstractNum>
  <w:abstractNum w:abstractNumId="6">
    <w:nsid w:val="54AEA450"/>
    <w:multiLevelType w:val="singleLevel"/>
    <w:tmpl w:val="54AEA450"/>
    <w:lvl w:ilvl="0">
      <w:start w:val="2"/>
      <w:numFmt w:val="chineseCounting"/>
      <w:suff w:val="nothing"/>
      <w:lvlText w:val="（%1）"/>
      <w:lvlJc w:val="left"/>
    </w:lvl>
  </w:abstractNum>
  <w:abstractNum w:abstractNumId="7">
    <w:nsid w:val="54AEAF8B"/>
    <w:multiLevelType w:val="singleLevel"/>
    <w:tmpl w:val="54AEAF8B"/>
    <w:lvl w:ilvl="0">
      <w:start w:val="2"/>
      <w:numFmt w:val="chineseCounting"/>
      <w:suff w:val="nothing"/>
      <w:lvlText w:val="（%1）"/>
      <w:lvlJc w:val="left"/>
    </w:lvl>
  </w:abstractNum>
  <w:abstractNum w:abstractNumId="8">
    <w:nsid w:val="54AEB043"/>
    <w:multiLevelType w:val="singleLevel"/>
    <w:tmpl w:val="54AEB043"/>
    <w:lvl w:ilvl="0">
      <w:start w:val="2"/>
      <w:numFmt w:val="chineseCounting"/>
      <w:suff w:val="nothing"/>
      <w:lvlText w:val="（%1）"/>
      <w:lvlJc w:val="left"/>
    </w:lvl>
  </w:abstractNum>
  <w:abstractNum w:abstractNumId="9">
    <w:nsid w:val="54AEB6B6"/>
    <w:multiLevelType w:val="singleLevel"/>
    <w:tmpl w:val="54AEB6B6"/>
    <w:lvl w:ilvl="0">
      <w:start w:val="1"/>
      <w:numFmt w:val="bullet"/>
      <w:lvlText w:val=""/>
      <w:lvlJc w:val="left"/>
      <w:pPr>
        <w:tabs>
          <w:tab w:val="num" w:pos="420"/>
        </w:tabs>
        <w:ind w:left="420" w:hanging="420"/>
      </w:pPr>
      <w:rPr>
        <w:rFonts w:ascii="Wingdings" w:hAnsi="Wingdings" w:hint="default"/>
      </w:rPr>
    </w:lvl>
  </w:abstractNum>
  <w:abstractNum w:abstractNumId="10">
    <w:nsid w:val="5683945D"/>
    <w:multiLevelType w:val="singleLevel"/>
    <w:tmpl w:val="5683945D"/>
    <w:lvl w:ilvl="0">
      <w:start w:val="2"/>
      <w:numFmt w:val="chineseCounting"/>
      <w:suff w:val="nothing"/>
      <w:lvlText w:val="%1、"/>
      <w:lvlJc w:val="left"/>
    </w:lvl>
  </w:abstractNum>
  <w:num w:numId="1">
    <w:abstractNumId w:val="3"/>
  </w:num>
  <w:num w:numId="2">
    <w:abstractNumId w:val="4"/>
  </w:num>
  <w:num w:numId="3">
    <w:abstractNumId w:val="0"/>
  </w:num>
  <w:num w:numId="4">
    <w:abstractNumId w:val="2"/>
  </w:num>
  <w:num w:numId="5">
    <w:abstractNumId w:val="6"/>
  </w:num>
  <w:num w:numId="6">
    <w:abstractNumId w:val="1"/>
  </w:num>
  <w:num w:numId="7">
    <w:abstractNumId w:val="7"/>
  </w:num>
  <w:num w:numId="8">
    <w:abstractNumId w:val="8"/>
  </w:num>
  <w:num w:numId="9">
    <w:abstractNumId w:val="5"/>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420"/>
  <w:drawingGridHorizontalSpacing w:val="105"/>
  <w:drawingGridVerticalSpacing w:val="156"/>
  <w:noPunctuationKerning/>
  <w:characterSpacingControl w:val="compressPunctuation"/>
  <w:doNotValidateAgainstSchema/>
  <w:doNotDemarcateInvalidXml/>
  <w:hdrShapeDefaults>
    <o:shapedefaults v:ext="edit" spidmax="3094"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392270"/>
    <w:rsid w:val="000005B2"/>
    <w:rsid w:val="00001706"/>
    <w:rsid w:val="000017E7"/>
    <w:rsid w:val="00001FDE"/>
    <w:rsid w:val="00002470"/>
    <w:rsid w:val="00002B84"/>
    <w:rsid w:val="00002FBC"/>
    <w:rsid w:val="0000331D"/>
    <w:rsid w:val="0000512E"/>
    <w:rsid w:val="00005644"/>
    <w:rsid w:val="00005871"/>
    <w:rsid w:val="00005B27"/>
    <w:rsid w:val="00005BDE"/>
    <w:rsid w:val="000062CD"/>
    <w:rsid w:val="00006F14"/>
    <w:rsid w:val="0000714E"/>
    <w:rsid w:val="00010E86"/>
    <w:rsid w:val="00013203"/>
    <w:rsid w:val="00013C08"/>
    <w:rsid w:val="000140B6"/>
    <w:rsid w:val="00014615"/>
    <w:rsid w:val="0001516A"/>
    <w:rsid w:val="00015299"/>
    <w:rsid w:val="000153AF"/>
    <w:rsid w:val="00016ADE"/>
    <w:rsid w:val="00016D19"/>
    <w:rsid w:val="00017350"/>
    <w:rsid w:val="00017DCC"/>
    <w:rsid w:val="00021B79"/>
    <w:rsid w:val="00021F34"/>
    <w:rsid w:val="00022415"/>
    <w:rsid w:val="000225EE"/>
    <w:rsid w:val="00023A7E"/>
    <w:rsid w:val="0002453F"/>
    <w:rsid w:val="00025217"/>
    <w:rsid w:val="0002787B"/>
    <w:rsid w:val="00027DAA"/>
    <w:rsid w:val="00031D68"/>
    <w:rsid w:val="00031E4D"/>
    <w:rsid w:val="00032D29"/>
    <w:rsid w:val="00033D7E"/>
    <w:rsid w:val="00033DA7"/>
    <w:rsid w:val="00034175"/>
    <w:rsid w:val="000357EF"/>
    <w:rsid w:val="00035DEE"/>
    <w:rsid w:val="00036388"/>
    <w:rsid w:val="00036C4C"/>
    <w:rsid w:val="00040B89"/>
    <w:rsid w:val="00040F95"/>
    <w:rsid w:val="0004151A"/>
    <w:rsid w:val="00041759"/>
    <w:rsid w:val="00041F70"/>
    <w:rsid w:val="00042E61"/>
    <w:rsid w:val="0004360A"/>
    <w:rsid w:val="000441EB"/>
    <w:rsid w:val="00044AA0"/>
    <w:rsid w:val="0004546A"/>
    <w:rsid w:val="0004748D"/>
    <w:rsid w:val="00050B49"/>
    <w:rsid w:val="00050F4A"/>
    <w:rsid w:val="0005145F"/>
    <w:rsid w:val="000524D7"/>
    <w:rsid w:val="00052995"/>
    <w:rsid w:val="00053337"/>
    <w:rsid w:val="00053DE1"/>
    <w:rsid w:val="00053FF1"/>
    <w:rsid w:val="000552DA"/>
    <w:rsid w:val="000554BA"/>
    <w:rsid w:val="00055A41"/>
    <w:rsid w:val="00055A64"/>
    <w:rsid w:val="00055B25"/>
    <w:rsid w:val="00055E6D"/>
    <w:rsid w:val="00055E71"/>
    <w:rsid w:val="000568F7"/>
    <w:rsid w:val="000605DC"/>
    <w:rsid w:val="00060785"/>
    <w:rsid w:val="00061340"/>
    <w:rsid w:val="00061DA3"/>
    <w:rsid w:val="00062396"/>
    <w:rsid w:val="00062516"/>
    <w:rsid w:val="0006339C"/>
    <w:rsid w:val="000636E6"/>
    <w:rsid w:val="000636F7"/>
    <w:rsid w:val="00063A30"/>
    <w:rsid w:val="00064EA8"/>
    <w:rsid w:val="000673DA"/>
    <w:rsid w:val="0007013B"/>
    <w:rsid w:val="00070A22"/>
    <w:rsid w:val="00070BCB"/>
    <w:rsid w:val="00070E26"/>
    <w:rsid w:val="000714FA"/>
    <w:rsid w:val="000725A3"/>
    <w:rsid w:val="0007285A"/>
    <w:rsid w:val="00072B20"/>
    <w:rsid w:val="000731D3"/>
    <w:rsid w:val="000735BA"/>
    <w:rsid w:val="000738A4"/>
    <w:rsid w:val="00081956"/>
    <w:rsid w:val="00081DFB"/>
    <w:rsid w:val="00082506"/>
    <w:rsid w:val="0008290F"/>
    <w:rsid w:val="00082E48"/>
    <w:rsid w:val="00083C98"/>
    <w:rsid w:val="00083D9D"/>
    <w:rsid w:val="0008443F"/>
    <w:rsid w:val="0009051E"/>
    <w:rsid w:val="00090D29"/>
    <w:rsid w:val="000928D8"/>
    <w:rsid w:val="000936D2"/>
    <w:rsid w:val="000953C2"/>
    <w:rsid w:val="00097A1D"/>
    <w:rsid w:val="000A01A2"/>
    <w:rsid w:val="000A0550"/>
    <w:rsid w:val="000A13EB"/>
    <w:rsid w:val="000A1480"/>
    <w:rsid w:val="000A1958"/>
    <w:rsid w:val="000A1C8D"/>
    <w:rsid w:val="000A2802"/>
    <w:rsid w:val="000A2FDF"/>
    <w:rsid w:val="000A33D7"/>
    <w:rsid w:val="000A37BE"/>
    <w:rsid w:val="000A4C4B"/>
    <w:rsid w:val="000A54D6"/>
    <w:rsid w:val="000A6462"/>
    <w:rsid w:val="000A7115"/>
    <w:rsid w:val="000A7708"/>
    <w:rsid w:val="000B11E8"/>
    <w:rsid w:val="000B2EA9"/>
    <w:rsid w:val="000B3C3B"/>
    <w:rsid w:val="000B4202"/>
    <w:rsid w:val="000B43B4"/>
    <w:rsid w:val="000B44A5"/>
    <w:rsid w:val="000B4865"/>
    <w:rsid w:val="000B61A1"/>
    <w:rsid w:val="000B758A"/>
    <w:rsid w:val="000B7D6A"/>
    <w:rsid w:val="000C02BC"/>
    <w:rsid w:val="000C144C"/>
    <w:rsid w:val="000C1FBF"/>
    <w:rsid w:val="000C21BB"/>
    <w:rsid w:val="000C2EBB"/>
    <w:rsid w:val="000C3021"/>
    <w:rsid w:val="000C38F7"/>
    <w:rsid w:val="000C3A23"/>
    <w:rsid w:val="000C42B8"/>
    <w:rsid w:val="000C457F"/>
    <w:rsid w:val="000C47AF"/>
    <w:rsid w:val="000C4D45"/>
    <w:rsid w:val="000C51D8"/>
    <w:rsid w:val="000C5539"/>
    <w:rsid w:val="000C55BA"/>
    <w:rsid w:val="000C56BE"/>
    <w:rsid w:val="000C57E3"/>
    <w:rsid w:val="000C66E3"/>
    <w:rsid w:val="000C6DC6"/>
    <w:rsid w:val="000C6E15"/>
    <w:rsid w:val="000C73D2"/>
    <w:rsid w:val="000D1164"/>
    <w:rsid w:val="000D1487"/>
    <w:rsid w:val="000D1D68"/>
    <w:rsid w:val="000D1F81"/>
    <w:rsid w:val="000D21F1"/>
    <w:rsid w:val="000D24EC"/>
    <w:rsid w:val="000D32BF"/>
    <w:rsid w:val="000D3407"/>
    <w:rsid w:val="000D3BE6"/>
    <w:rsid w:val="000D4A1C"/>
    <w:rsid w:val="000D4C40"/>
    <w:rsid w:val="000D4CAD"/>
    <w:rsid w:val="000D4DE3"/>
    <w:rsid w:val="000D6F66"/>
    <w:rsid w:val="000D7572"/>
    <w:rsid w:val="000D7582"/>
    <w:rsid w:val="000E037A"/>
    <w:rsid w:val="000E0B18"/>
    <w:rsid w:val="000E2CDD"/>
    <w:rsid w:val="000E3A45"/>
    <w:rsid w:val="000E3C38"/>
    <w:rsid w:val="000E4B56"/>
    <w:rsid w:val="000E620B"/>
    <w:rsid w:val="000E7265"/>
    <w:rsid w:val="000E736C"/>
    <w:rsid w:val="000E7DBE"/>
    <w:rsid w:val="000E7FBD"/>
    <w:rsid w:val="000F0C96"/>
    <w:rsid w:val="000F17A6"/>
    <w:rsid w:val="000F1BD8"/>
    <w:rsid w:val="000F1C10"/>
    <w:rsid w:val="000F1E06"/>
    <w:rsid w:val="000F223E"/>
    <w:rsid w:val="000F2481"/>
    <w:rsid w:val="000F2E27"/>
    <w:rsid w:val="000F416A"/>
    <w:rsid w:val="000F4586"/>
    <w:rsid w:val="000F558C"/>
    <w:rsid w:val="000F5836"/>
    <w:rsid w:val="000F5E43"/>
    <w:rsid w:val="000F5FFE"/>
    <w:rsid w:val="000F6572"/>
    <w:rsid w:val="000F6AC8"/>
    <w:rsid w:val="000F7500"/>
    <w:rsid w:val="000F7EA3"/>
    <w:rsid w:val="00101D9C"/>
    <w:rsid w:val="001027C6"/>
    <w:rsid w:val="001031C2"/>
    <w:rsid w:val="00104E15"/>
    <w:rsid w:val="00105255"/>
    <w:rsid w:val="001063EA"/>
    <w:rsid w:val="00106F9E"/>
    <w:rsid w:val="001072EC"/>
    <w:rsid w:val="001158D5"/>
    <w:rsid w:val="00115956"/>
    <w:rsid w:val="00115E78"/>
    <w:rsid w:val="001162E3"/>
    <w:rsid w:val="001167AB"/>
    <w:rsid w:val="001175F3"/>
    <w:rsid w:val="0011788A"/>
    <w:rsid w:val="0011789C"/>
    <w:rsid w:val="0012067A"/>
    <w:rsid w:val="001215CE"/>
    <w:rsid w:val="00121BB3"/>
    <w:rsid w:val="00121CFD"/>
    <w:rsid w:val="00123BC8"/>
    <w:rsid w:val="00123CFE"/>
    <w:rsid w:val="0012474F"/>
    <w:rsid w:val="0012490E"/>
    <w:rsid w:val="00124ABD"/>
    <w:rsid w:val="00127DC0"/>
    <w:rsid w:val="001305FD"/>
    <w:rsid w:val="001307D4"/>
    <w:rsid w:val="00131C4E"/>
    <w:rsid w:val="00132A5A"/>
    <w:rsid w:val="001330CB"/>
    <w:rsid w:val="00133163"/>
    <w:rsid w:val="00133964"/>
    <w:rsid w:val="00133CA1"/>
    <w:rsid w:val="00134815"/>
    <w:rsid w:val="00134DB8"/>
    <w:rsid w:val="001355F8"/>
    <w:rsid w:val="001371F4"/>
    <w:rsid w:val="00137BA6"/>
    <w:rsid w:val="00140420"/>
    <w:rsid w:val="001404E7"/>
    <w:rsid w:val="00141D96"/>
    <w:rsid w:val="001422BD"/>
    <w:rsid w:val="0014294D"/>
    <w:rsid w:val="00142BB3"/>
    <w:rsid w:val="00142BE4"/>
    <w:rsid w:val="001435E4"/>
    <w:rsid w:val="00145539"/>
    <w:rsid w:val="00146BF7"/>
    <w:rsid w:val="001470CD"/>
    <w:rsid w:val="00147AE7"/>
    <w:rsid w:val="00147F32"/>
    <w:rsid w:val="0015120C"/>
    <w:rsid w:val="00151506"/>
    <w:rsid w:val="001516C7"/>
    <w:rsid w:val="001518E5"/>
    <w:rsid w:val="001538E6"/>
    <w:rsid w:val="001541E1"/>
    <w:rsid w:val="00155004"/>
    <w:rsid w:val="00155035"/>
    <w:rsid w:val="00155D47"/>
    <w:rsid w:val="0015717D"/>
    <w:rsid w:val="00157E9A"/>
    <w:rsid w:val="00160B99"/>
    <w:rsid w:val="0016234E"/>
    <w:rsid w:val="001623D1"/>
    <w:rsid w:val="001627AF"/>
    <w:rsid w:val="001629CB"/>
    <w:rsid w:val="001634D6"/>
    <w:rsid w:val="00163AE3"/>
    <w:rsid w:val="00163D62"/>
    <w:rsid w:val="00165B35"/>
    <w:rsid w:val="0016678F"/>
    <w:rsid w:val="001668A5"/>
    <w:rsid w:val="00166E25"/>
    <w:rsid w:val="00167D85"/>
    <w:rsid w:val="00170853"/>
    <w:rsid w:val="00170BDF"/>
    <w:rsid w:val="00170CEC"/>
    <w:rsid w:val="00171BD3"/>
    <w:rsid w:val="00172C40"/>
    <w:rsid w:val="001740F9"/>
    <w:rsid w:val="001751AF"/>
    <w:rsid w:val="001757A8"/>
    <w:rsid w:val="00175E0D"/>
    <w:rsid w:val="00177103"/>
    <w:rsid w:val="00177622"/>
    <w:rsid w:val="00177A4B"/>
    <w:rsid w:val="00180119"/>
    <w:rsid w:val="00180F82"/>
    <w:rsid w:val="00181897"/>
    <w:rsid w:val="00181A54"/>
    <w:rsid w:val="00182AD7"/>
    <w:rsid w:val="001834C8"/>
    <w:rsid w:val="00183557"/>
    <w:rsid w:val="00183A50"/>
    <w:rsid w:val="00183CAD"/>
    <w:rsid w:val="00184211"/>
    <w:rsid w:val="001848C5"/>
    <w:rsid w:val="00185242"/>
    <w:rsid w:val="001861FD"/>
    <w:rsid w:val="0018639B"/>
    <w:rsid w:val="00191A77"/>
    <w:rsid w:val="00193F94"/>
    <w:rsid w:val="00195535"/>
    <w:rsid w:val="001964EF"/>
    <w:rsid w:val="001969FB"/>
    <w:rsid w:val="00196AC0"/>
    <w:rsid w:val="001970E7"/>
    <w:rsid w:val="00197ABF"/>
    <w:rsid w:val="00197C27"/>
    <w:rsid w:val="001A09A0"/>
    <w:rsid w:val="001A0A7A"/>
    <w:rsid w:val="001A3517"/>
    <w:rsid w:val="001A351C"/>
    <w:rsid w:val="001A370F"/>
    <w:rsid w:val="001A44B6"/>
    <w:rsid w:val="001A4D23"/>
    <w:rsid w:val="001A64DF"/>
    <w:rsid w:val="001A685F"/>
    <w:rsid w:val="001A7289"/>
    <w:rsid w:val="001A7CC5"/>
    <w:rsid w:val="001B057B"/>
    <w:rsid w:val="001B0B54"/>
    <w:rsid w:val="001B2083"/>
    <w:rsid w:val="001B3CB4"/>
    <w:rsid w:val="001B450A"/>
    <w:rsid w:val="001B48AA"/>
    <w:rsid w:val="001B615E"/>
    <w:rsid w:val="001B62AA"/>
    <w:rsid w:val="001B6666"/>
    <w:rsid w:val="001B680D"/>
    <w:rsid w:val="001B6C0C"/>
    <w:rsid w:val="001B6C76"/>
    <w:rsid w:val="001B730A"/>
    <w:rsid w:val="001C15FE"/>
    <w:rsid w:val="001C1945"/>
    <w:rsid w:val="001C25BA"/>
    <w:rsid w:val="001C3598"/>
    <w:rsid w:val="001C3CC8"/>
    <w:rsid w:val="001C3FDC"/>
    <w:rsid w:val="001C4C60"/>
    <w:rsid w:val="001C5E20"/>
    <w:rsid w:val="001C5FE8"/>
    <w:rsid w:val="001C624D"/>
    <w:rsid w:val="001C730A"/>
    <w:rsid w:val="001C79FE"/>
    <w:rsid w:val="001D00A8"/>
    <w:rsid w:val="001D0779"/>
    <w:rsid w:val="001D0F92"/>
    <w:rsid w:val="001D2DC4"/>
    <w:rsid w:val="001D2FB1"/>
    <w:rsid w:val="001D3049"/>
    <w:rsid w:val="001D33EF"/>
    <w:rsid w:val="001D3A10"/>
    <w:rsid w:val="001D3BB2"/>
    <w:rsid w:val="001D4587"/>
    <w:rsid w:val="001D4CA1"/>
    <w:rsid w:val="001D54AD"/>
    <w:rsid w:val="001D5DE1"/>
    <w:rsid w:val="001D63F8"/>
    <w:rsid w:val="001D7096"/>
    <w:rsid w:val="001D70BF"/>
    <w:rsid w:val="001D7293"/>
    <w:rsid w:val="001D74E1"/>
    <w:rsid w:val="001E05C7"/>
    <w:rsid w:val="001E0E84"/>
    <w:rsid w:val="001E1282"/>
    <w:rsid w:val="001E1373"/>
    <w:rsid w:val="001E16C8"/>
    <w:rsid w:val="001E1847"/>
    <w:rsid w:val="001E24A2"/>
    <w:rsid w:val="001E33DF"/>
    <w:rsid w:val="001E4A08"/>
    <w:rsid w:val="001E4B5E"/>
    <w:rsid w:val="001E4E15"/>
    <w:rsid w:val="001E5195"/>
    <w:rsid w:val="001E5ED9"/>
    <w:rsid w:val="001E6D8F"/>
    <w:rsid w:val="001E75C5"/>
    <w:rsid w:val="001F124A"/>
    <w:rsid w:val="001F16B9"/>
    <w:rsid w:val="001F16DE"/>
    <w:rsid w:val="001F1C40"/>
    <w:rsid w:val="001F2D75"/>
    <w:rsid w:val="001F38D3"/>
    <w:rsid w:val="001F418B"/>
    <w:rsid w:val="001F429E"/>
    <w:rsid w:val="001F4590"/>
    <w:rsid w:val="001F4D15"/>
    <w:rsid w:val="001F4D90"/>
    <w:rsid w:val="001F5A2D"/>
    <w:rsid w:val="001F5CB6"/>
    <w:rsid w:val="001F60BF"/>
    <w:rsid w:val="001F656E"/>
    <w:rsid w:val="001F66F8"/>
    <w:rsid w:val="001F679B"/>
    <w:rsid w:val="001F68AB"/>
    <w:rsid w:val="001F6953"/>
    <w:rsid w:val="001F773E"/>
    <w:rsid w:val="001F780E"/>
    <w:rsid w:val="002001C2"/>
    <w:rsid w:val="002003FC"/>
    <w:rsid w:val="0020091A"/>
    <w:rsid w:val="00200D13"/>
    <w:rsid w:val="002019AA"/>
    <w:rsid w:val="00201AEE"/>
    <w:rsid w:val="00201C11"/>
    <w:rsid w:val="002024EA"/>
    <w:rsid w:val="00203112"/>
    <w:rsid w:val="00203697"/>
    <w:rsid w:val="002042C4"/>
    <w:rsid w:val="002048CA"/>
    <w:rsid w:val="00204F53"/>
    <w:rsid w:val="00205615"/>
    <w:rsid w:val="002062AA"/>
    <w:rsid w:val="0020636C"/>
    <w:rsid w:val="00206E12"/>
    <w:rsid w:val="002073E0"/>
    <w:rsid w:val="00207B6F"/>
    <w:rsid w:val="00210E54"/>
    <w:rsid w:val="00211057"/>
    <w:rsid w:val="00211B68"/>
    <w:rsid w:val="0021246B"/>
    <w:rsid w:val="00213334"/>
    <w:rsid w:val="0021404B"/>
    <w:rsid w:val="0021420F"/>
    <w:rsid w:val="00214566"/>
    <w:rsid w:val="0021497C"/>
    <w:rsid w:val="002149E2"/>
    <w:rsid w:val="002154E8"/>
    <w:rsid w:val="00215839"/>
    <w:rsid w:val="002161BB"/>
    <w:rsid w:val="00217686"/>
    <w:rsid w:val="002176B2"/>
    <w:rsid w:val="00221355"/>
    <w:rsid w:val="002216E7"/>
    <w:rsid w:val="002220CE"/>
    <w:rsid w:val="00222434"/>
    <w:rsid w:val="002244DE"/>
    <w:rsid w:val="00224AF7"/>
    <w:rsid w:val="00226755"/>
    <w:rsid w:val="002278FB"/>
    <w:rsid w:val="002307EC"/>
    <w:rsid w:val="00230848"/>
    <w:rsid w:val="00231A82"/>
    <w:rsid w:val="00231DBE"/>
    <w:rsid w:val="00233E57"/>
    <w:rsid w:val="00234505"/>
    <w:rsid w:val="00234774"/>
    <w:rsid w:val="00234C55"/>
    <w:rsid w:val="002353D8"/>
    <w:rsid w:val="002369E8"/>
    <w:rsid w:val="00236DAB"/>
    <w:rsid w:val="00237441"/>
    <w:rsid w:val="002402CB"/>
    <w:rsid w:val="002418F1"/>
    <w:rsid w:val="0024229C"/>
    <w:rsid w:val="00242762"/>
    <w:rsid w:val="00243613"/>
    <w:rsid w:val="00243751"/>
    <w:rsid w:val="00244094"/>
    <w:rsid w:val="0024490C"/>
    <w:rsid w:val="002454D9"/>
    <w:rsid w:val="00245502"/>
    <w:rsid w:val="00245B12"/>
    <w:rsid w:val="0024751D"/>
    <w:rsid w:val="00247CCC"/>
    <w:rsid w:val="00247E79"/>
    <w:rsid w:val="00250BDB"/>
    <w:rsid w:val="00251082"/>
    <w:rsid w:val="00251F60"/>
    <w:rsid w:val="00252FCA"/>
    <w:rsid w:val="00253713"/>
    <w:rsid w:val="002539F1"/>
    <w:rsid w:val="00253DD1"/>
    <w:rsid w:val="00254652"/>
    <w:rsid w:val="00254828"/>
    <w:rsid w:val="00254EDA"/>
    <w:rsid w:val="00255649"/>
    <w:rsid w:val="00256645"/>
    <w:rsid w:val="00257073"/>
    <w:rsid w:val="00257BF5"/>
    <w:rsid w:val="0026005B"/>
    <w:rsid w:val="00260961"/>
    <w:rsid w:val="00261F89"/>
    <w:rsid w:val="00262F27"/>
    <w:rsid w:val="002637A0"/>
    <w:rsid w:val="002642EF"/>
    <w:rsid w:val="0026539B"/>
    <w:rsid w:val="00266090"/>
    <w:rsid w:val="00266B27"/>
    <w:rsid w:val="00266E90"/>
    <w:rsid w:val="00267468"/>
    <w:rsid w:val="00271A5E"/>
    <w:rsid w:val="00271EA2"/>
    <w:rsid w:val="00273CCD"/>
    <w:rsid w:val="00273D5A"/>
    <w:rsid w:val="00273F04"/>
    <w:rsid w:val="0027451E"/>
    <w:rsid w:val="00275D16"/>
    <w:rsid w:val="00275E1D"/>
    <w:rsid w:val="002763C6"/>
    <w:rsid w:val="00276D50"/>
    <w:rsid w:val="002774F9"/>
    <w:rsid w:val="002778A8"/>
    <w:rsid w:val="00277AB7"/>
    <w:rsid w:val="0028063B"/>
    <w:rsid w:val="0028149D"/>
    <w:rsid w:val="00282D60"/>
    <w:rsid w:val="00283D66"/>
    <w:rsid w:val="002840E9"/>
    <w:rsid w:val="002843F2"/>
    <w:rsid w:val="002847B3"/>
    <w:rsid w:val="00285061"/>
    <w:rsid w:val="002850A7"/>
    <w:rsid w:val="00287C52"/>
    <w:rsid w:val="00290F79"/>
    <w:rsid w:val="002917A1"/>
    <w:rsid w:val="002933D5"/>
    <w:rsid w:val="00293B2C"/>
    <w:rsid w:val="00293B74"/>
    <w:rsid w:val="002942B9"/>
    <w:rsid w:val="002948A5"/>
    <w:rsid w:val="00294957"/>
    <w:rsid w:val="002950B2"/>
    <w:rsid w:val="0029524C"/>
    <w:rsid w:val="00295CE1"/>
    <w:rsid w:val="002962CC"/>
    <w:rsid w:val="0029707C"/>
    <w:rsid w:val="00297C43"/>
    <w:rsid w:val="00297C89"/>
    <w:rsid w:val="00297C98"/>
    <w:rsid w:val="00297D55"/>
    <w:rsid w:val="002A091A"/>
    <w:rsid w:val="002A112D"/>
    <w:rsid w:val="002A1303"/>
    <w:rsid w:val="002A161B"/>
    <w:rsid w:val="002A227E"/>
    <w:rsid w:val="002A345F"/>
    <w:rsid w:val="002A3586"/>
    <w:rsid w:val="002A3893"/>
    <w:rsid w:val="002A416B"/>
    <w:rsid w:val="002A494F"/>
    <w:rsid w:val="002A4E2D"/>
    <w:rsid w:val="002A5520"/>
    <w:rsid w:val="002A55B3"/>
    <w:rsid w:val="002A736A"/>
    <w:rsid w:val="002A783D"/>
    <w:rsid w:val="002A783E"/>
    <w:rsid w:val="002A79DB"/>
    <w:rsid w:val="002B0459"/>
    <w:rsid w:val="002B06CF"/>
    <w:rsid w:val="002B1281"/>
    <w:rsid w:val="002B2276"/>
    <w:rsid w:val="002B3756"/>
    <w:rsid w:val="002B53AD"/>
    <w:rsid w:val="002B561C"/>
    <w:rsid w:val="002B57B2"/>
    <w:rsid w:val="002B5ACA"/>
    <w:rsid w:val="002B67B1"/>
    <w:rsid w:val="002B6DD1"/>
    <w:rsid w:val="002C08C9"/>
    <w:rsid w:val="002C0D6B"/>
    <w:rsid w:val="002C101F"/>
    <w:rsid w:val="002C1670"/>
    <w:rsid w:val="002C350C"/>
    <w:rsid w:val="002C37BD"/>
    <w:rsid w:val="002C3DD3"/>
    <w:rsid w:val="002C46BF"/>
    <w:rsid w:val="002C55C0"/>
    <w:rsid w:val="002C5727"/>
    <w:rsid w:val="002C57B0"/>
    <w:rsid w:val="002C5BFA"/>
    <w:rsid w:val="002C5EA5"/>
    <w:rsid w:val="002C6673"/>
    <w:rsid w:val="002C771C"/>
    <w:rsid w:val="002C7B42"/>
    <w:rsid w:val="002D08F0"/>
    <w:rsid w:val="002D117D"/>
    <w:rsid w:val="002D19D1"/>
    <w:rsid w:val="002D2565"/>
    <w:rsid w:val="002D27DE"/>
    <w:rsid w:val="002D29FE"/>
    <w:rsid w:val="002D3B49"/>
    <w:rsid w:val="002D4659"/>
    <w:rsid w:val="002D4851"/>
    <w:rsid w:val="002D4D0A"/>
    <w:rsid w:val="002D64CB"/>
    <w:rsid w:val="002D686C"/>
    <w:rsid w:val="002D69AA"/>
    <w:rsid w:val="002D732F"/>
    <w:rsid w:val="002E017D"/>
    <w:rsid w:val="002E0181"/>
    <w:rsid w:val="002E0473"/>
    <w:rsid w:val="002E07A9"/>
    <w:rsid w:val="002E0F21"/>
    <w:rsid w:val="002E1E4B"/>
    <w:rsid w:val="002E1FB2"/>
    <w:rsid w:val="002E31B9"/>
    <w:rsid w:val="002E3739"/>
    <w:rsid w:val="002E6107"/>
    <w:rsid w:val="002E7311"/>
    <w:rsid w:val="002F13C7"/>
    <w:rsid w:val="002F2215"/>
    <w:rsid w:val="002F254A"/>
    <w:rsid w:val="002F270C"/>
    <w:rsid w:val="002F3A42"/>
    <w:rsid w:val="002F3C72"/>
    <w:rsid w:val="002F405F"/>
    <w:rsid w:val="002F4D53"/>
    <w:rsid w:val="002F50DB"/>
    <w:rsid w:val="002F5247"/>
    <w:rsid w:val="002F5B7F"/>
    <w:rsid w:val="002F6455"/>
    <w:rsid w:val="002F66CD"/>
    <w:rsid w:val="002F6E01"/>
    <w:rsid w:val="003004E3"/>
    <w:rsid w:val="00300C59"/>
    <w:rsid w:val="00300F4D"/>
    <w:rsid w:val="0030182D"/>
    <w:rsid w:val="00301CC9"/>
    <w:rsid w:val="00302238"/>
    <w:rsid w:val="00302529"/>
    <w:rsid w:val="00302748"/>
    <w:rsid w:val="00302D7E"/>
    <w:rsid w:val="00303267"/>
    <w:rsid w:val="00303871"/>
    <w:rsid w:val="00303BBD"/>
    <w:rsid w:val="0030538B"/>
    <w:rsid w:val="003053A8"/>
    <w:rsid w:val="003057CC"/>
    <w:rsid w:val="00306BF7"/>
    <w:rsid w:val="0031000C"/>
    <w:rsid w:val="00313476"/>
    <w:rsid w:val="00313B0A"/>
    <w:rsid w:val="00314179"/>
    <w:rsid w:val="003143EB"/>
    <w:rsid w:val="00314984"/>
    <w:rsid w:val="0031597E"/>
    <w:rsid w:val="00316B7A"/>
    <w:rsid w:val="00317A4E"/>
    <w:rsid w:val="00321969"/>
    <w:rsid w:val="00321BFD"/>
    <w:rsid w:val="00322544"/>
    <w:rsid w:val="003225D8"/>
    <w:rsid w:val="003234B2"/>
    <w:rsid w:val="00323C8A"/>
    <w:rsid w:val="003249E4"/>
    <w:rsid w:val="00325034"/>
    <w:rsid w:val="003251FB"/>
    <w:rsid w:val="00325E2C"/>
    <w:rsid w:val="00326639"/>
    <w:rsid w:val="00327415"/>
    <w:rsid w:val="0033022A"/>
    <w:rsid w:val="003303E3"/>
    <w:rsid w:val="003306F9"/>
    <w:rsid w:val="003309D1"/>
    <w:rsid w:val="00331349"/>
    <w:rsid w:val="0033257A"/>
    <w:rsid w:val="003334DE"/>
    <w:rsid w:val="003339C7"/>
    <w:rsid w:val="00334117"/>
    <w:rsid w:val="00335590"/>
    <w:rsid w:val="00335A10"/>
    <w:rsid w:val="00335D15"/>
    <w:rsid w:val="00335F70"/>
    <w:rsid w:val="0033614D"/>
    <w:rsid w:val="00336157"/>
    <w:rsid w:val="00336207"/>
    <w:rsid w:val="00336670"/>
    <w:rsid w:val="00336821"/>
    <w:rsid w:val="00336E21"/>
    <w:rsid w:val="00337024"/>
    <w:rsid w:val="0034029D"/>
    <w:rsid w:val="00340971"/>
    <w:rsid w:val="003410B4"/>
    <w:rsid w:val="00342B0B"/>
    <w:rsid w:val="003433C4"/>
    <w:rsid w:val="0034374B"/>
    <w:rsid w:val="00343AC6"/>
    <w:rsid w:val="0034419F"/>
    <w:rsid w:val="0034478A"/>
    <w:rsid w:val="0034482F"/>
    <w:rsid w:val="00345292"/>
    <w:rsid w:val="00345401"/>
    <w:rsid w:val="00345902"/>
    <w:rsid w:val="0034729B"/>
    <w:rsid w:val="00347473"/>
    <w:rsid w:val="00347816"/>
    <w:rsid w:val="00350501"/>
    <w:rsid w:val="0035110B"/>
    <w:rsid w:val="0035158F"/>
    <w:rsid w:val="00351776"/>
    <w:rsid w:val="00351E87"/>
    <w:rsid w:val="0035220B"/>
    <w:rsid w:val="0035233A"/>
    <w:rsid w:val="00354DCC"/>
    <w:rsid w:val="00354FC9"/>
    <w:rsid w:val="0035648C"/>
    <w:rsid w:val="003577F0"/>
    <w:rsid w:val="003578DB"/>
    <w:rsid w:val="00357BD2"/>
    <w:rsid w:val="00360A30"/>
    <w:rsid w:val="003619EC"/>
    <w:rsid w:val="003639C8"/>
    <w:rsid w:val="00363BEA"/>
    <w:rsid w:val="00364122"/>
    <w:rsid w:val="003649B4"/>
    <w:rsid w:val="00364AF8"/>
    <w:rsid w:val="00365CA9"/>
    <w:rsid w:val="003660B4"/>
    <w:rsid w:val="003663F5"/>
    <w:rsid w:val="0036659E"/>
    <w:rsid w:val="00366BD5"/>
    <w:rsid w:val="00367EE2"/>
    <w:rsid w:val="0037004F"/>
    <w:rsid w:val="0037032C"/>
    <w:rsid w:val="00372733"/>
    <w:rsid w:val="00372DE8"/>
    <w:rsid w:val="00373074"/>
    <w:rsid w:val="00373C03"/>
    <w:rsid w:val="00374525"/>
    <w:rsid w:val="0037575F"/>
    <w:rsid w:val="00377228"/>
    <w:rsid w:val="003779B9"/>
    <w:rsid w:val="003820DF"/>
    <w:rsid w:val="00383983"/>
    <w:rsid w:val="003849F6"/>
    <w:rsid w:val="00384A26"/>
    <w:rsid w:val="00384B4E"/>
    <w:rsid w:val="00385737"/>
    <w:rsid w:val="0038707A"/>
    <w:rsid w:val="003871D2"/>
    <w:rsid w:val="00387D1A"/>
    <w:rsid w:val="00387E45"/>
    <w:rsid w:val="0039032B"/>
    <w:rsid w:val="0039178D"/>
    <w:rsid w:val="0039218B"/>
    <w:rsid w:val="00392270"/>
    <w:rsid w:val="0039290E"/>
    <w:rsid w:val="003931AA"/>
    <w:rsid w:val="00393224"/>
    <w:rsid w:val="00393512"/>
    <w:rsid w:val="00393FE3"/>
    <w:rsid w:val="003945FC"/>
    <w:rsid w:val="00395F52"/>
    <w:rsid w:val="00395F77"/>
    <w:rsid w:val="00396D1F"/>
    <w:rsid w:val="00397E0F"/>
    <w:rsid w:val="003A0BC4"/>
    <w:rsid w:val="003A180B"/>
    <w:rsid w:val="003A2735"/>
    <w:rsid w:val="003A28F6"/>
    <w:rsid w:val="003A2F3F"/>
    <w:rsid w:val="003A3682"/>
    <w:rsid w:val="003A36B5"/>
    <w:rsid w:val="003A5499"/>
    <w:rsid w:val="003A5BCC"/>
    <w:rsid w:val="003A5F07"/>
    <w:rsid w:val="003A6A84"/>
    <w:rsid w:val="003B012A"/>
    <w:rsid w:val="003B0A39"/>
    <w:rsid w:val="003B129E"/>
    <w:rsid w:val="003B1D6A"/>
    <w:rsid w:val="003B2267"/>
    <w:rsid w:val="003B22C2"/>
    <w:rsid w:val="003B2BE7"/>
    <w:rsid w:val="003B2BF5"/>
    <w:rsid w:val="003B3A42"/>
    <w:rsid w:val="003B3A83"/>
    <w:rsid w:val="003B40CA"/>
    <w:rsid w:val="003B42EA"/>
    <w:rsid w:val="003B496B"/>
    <w:rsid w:val="003B4A2C"/>
    <w:rsid w:val="003B4EF1"/>
    <w:rsid w:val="003B5624"/>
    <w:rsid w:val="003B6021"/>
    <w:rsid w:val="003B66F5"/>
    <w:rsid w:val="003B6A24"/>
    <w:rsid w:val="003B6F9B"/>
    <w:rsid w:val="003B70FC"/>
    <w:rsid w:val="003B7B89"/>
    <w:rsid w:val="003B7E3D"/>
    <w:rsid w:val="003C0308"/>
    <w:rsid w:val="003C06A2"/>
    <w:rsid w:val="003C07BC"/>
    <w:rsid w:val="003C0EDB"/>
    <w:rsid w:val="003C14B1"/>
    <w:rsid w:val="003C1816"/>
    <w:rsid w:val="003C21ED"/>
    <w:rsid w:val="003C26E8"/>
    <w:rsid w:val="003C45BB"/>
    <w:rsid w:val="003C5BA8"/>
    <w:rsid w:val="003C7AD7"/>
    <w:rsid w:val="003D054C"/>
    <w:rsid w:val="003D0ABA"/>
    <w:rsid w:val="003D0B75"/>
    <w:rsid w:val="003D23E0"/>
    <w:rsid w:val="003D3128"/>
    <w:rsid w:val="003D31EB"/>
    <w:rsid w:val="003D37FD"/>
    <w:rsid w:val="003D3B3A"/>
    <w:rsid w:val="003D3E4B"/>
    <w:rsid w:val="003D3ED7"/>
    <w:rsid w:val="003D423A"/>
    <w:rsid w:val="003D4C75"/>
    <w:rsid w:val="003D6231"/>
    <w:rsid w:val="003D7270"/>
    <w:rsid w:val="003D76CF"/>
    <w:rsid w:val="003E0F4F"/>
    <w:rsid w:val="003E1F1F"/>
    <w:rsid w:val="003E2B7E"/>
    <w:rsid w:val="003E3B60"/>
    <w:rsid w:val="003E3B70"/>
    <w:rsid w:val="003E3D58"/>
    <w:rsid w:val="003E41A3"/>
    <w:rsid w:val="003E5A53"/>
    <w:rsid w:val="003E5C13"/>
    <w:rsid w:val="003E5E82"/>
    <w:rsid w:val="003E632C"/>
    <w:rsid w:val="003E664D"/>
    <w:rsid w:val="003E6A21"/>
    <w:rsid w:val="003E6D1E"/>
    <w:rsid w:val="003E7081"/>
    <w:rsid w:val="003E7353"/>
    <w:rsid w:val="003F10B0"/>
    <w:rsid w:val="003F1B27"/>
    <w:rsid w:val="003F1F7A"/>
    <w:rsid w:val="003F21C6"/>
    <w:rsid w:val="003F2345"/>
    <w:rsid w:val="003F26D1"/>
    <w:rsid w:val="003F49D0"/>
    <w:rsid w:val="003F4DE0"/>
    <w:rsid w:val="003F53CB"/>
    <w:rsid w:val="003F6777"/>
    <w:rsid w:val="003F6C8A"/>
    <w:rsid w:val="003F7475"/>
    <w:rsid w:val="004008A2"/>
    <w:rsid w:val="0040103D"/>
    <w:rsid w:val="00401176"/>
    <w:rsid w:val="00401327"/>
    <w:rsid w:val="0040251C"/>
    <w:rsid w:val="00403F32"/>
    <w:rsid w:val="00404316"/>
    <w:rsid w:val="0040431B"/>
    <w:rsid w:val="00404978"/>
    <w:rsid w:val="0040500C"/>
    <w:rsid w:val="004052DF"/>
    <w:rsid w:val="00405B57"/>
    <w:rsid w:val="00406258"/>
    <w:rsid w:val="004066E3"/>
    <w:rsid w:val="00406EA9"/>
    <w:rsid w:val="00410430"/>
    <w:rsid w:val="00410761"/>
    <w:rsid w:val="00410D9F"/>
    <w:rsid w:val="0041346A"/>
    <w:rsid w:val="00413E0A"/>
    <w:rsid w:val="00414600"/>
    <w:rsid w:val="004151E9"/>
    <w:rsid w:val="00415768"/>
    <w:rsid w:val="00415BEA"/>
    <w:rsid w:val="00415C56"/>
    <w:rsid w:val="00416FDD"/>
    <w:rsid w:val="004172D5"/>
    <w:rsid w:val="004173EB"/>
    <w:rsid w:val="00420289"/>
    <w:rsid w:val="004213BD"/>
    <w:rsid w:val="004213D3"/>
    <w:rsid w:val="004216AA"/>
    <w:rsid w:val="00422349"/>
    <w:rsid w:val="0042243C"/>
    <w:rsid w:val="00422EB9"/>
    <w:rsid w:val="0042375F"/>
    <w:rsid w:val="00423F51"/>
    <w:rsid w:val="00424AAF"/>
    <w:rsid w:val="0042542C"/>
    <w:rsid w:val="00425574"/>
    <w:rsid w:val="00425EE9"/>
    <w:rsid w:val="00427809"/>
    <w:rsid w:val="00427AD9"/>
    <w:rsid w:val="00427C7C"/>
    <w:rsid w:val="00427D03"/>
    <w:rsid w:val="00430130"/>
    <w:rsid w:val="0043181C"/>
    <w:rsid w:val="004318C4"/>
    <w:rsid w:val="00431A4F"/>
    <w:rsid w:val="0043242E"/>
    <w:rsid w:val="00433DC2"/>
    <w:rsid w:val="00433FB9"/>
    <w:rsid w:val="00434074"/>
    <w:rsid w:val="0043427C"/>
    <w:rsid w:val="00434298"/>
    <w:rsid w:val="00434458"/>
    <w:rsid w:val="00434581"/>
    <w:rsid w:val="004354E9"/>
    <w:rsid w:val="004356F2"/>
    <w:rsid w:val="00436BF9"/>
    <w:rsid w:val="00436E46"/>
    <w:rsid w:val="004376BB"/>
    <w:rsid w:val="00440200"/>
    <w:rsid w:val="00440D51"/>
    <w:rsid w:val="00440E2B"/>
    <w:rsid w:val="00441CE2"/>
    <w:rsid w:val="00441E23"/>
    <w:rsid w:val="00442F7D"/>
    <w:rsid w:val="00443011"/>
    <w:rsid w:val="00443459"/>
    <w:rsid w:val="004447E2"/>
    <w:rsid w:val="00444D98"/>
    <w:rsid w:val="00446253"/>
    <w:rsid w:val="00446607"/>
    <w:rsid w:val="0044749A"/>
    <w:rsid w:val="00447D1F"/>
    <w:rsid w:val="00447E11"/>
    <w:rsid w:val="004503DC"/>
    <w:rsid w:val="00451FEC"/>
    <w:rsid w:val="004523A2"/>
    <w:rsid w:val="00453907"/>
    <w:rsid w:val="004546E3"/>
    <w:rsid w:val="00456E1A"/>
    <w:rsid w:val="004572F9"/>
    <w:rsid w:val="00457ADB"/>
    <w:rsid w:val="0046003C"/>
    <w:rsid w:val="004600F6"/>
    <w:rsid w:val="00461F02"/>
    <w:rsid w:val="0046387E"/>
    <w:rsid w:val="00463DC3"/>
    <w:rsid w:val="00464037"/>
    <w:rsid w:val="00464C2B"/>
    <w:rsid w:val="004652D6"/>
    <w:rsid w:val="00465F87"/>
    <w:rsid w:val="00467DF9"/>
    <w:rsid w:val="00471251"/>
    <w:rsid w:val="0047152E"/>
    <w:rsid w:val="00471654"/>
    <w:rsid w:val="0047188F"/>
    <w:rsid w:val="0047326C"/>
    <w:rsid w:val="004740C7"/>
    <w:rsid w:val="00474550"/>
    <w:rsid w:val="0047467B"/>
    <w:rsid w:val="00474D31"/>
    <w:rsid w:val="004750F9"/>
    <w:rsid w:val="00475BCF"/>
    <w:rsid w:val="00475DF9"/>
    <w:rsid w:val="00476215"/>
    <w:rsid w:val="00476B7C"/>
    <w:rsid w:val="004776E0"/>
    <w:rsid w:val="0047793A"/>
    <w:rsid w:val="00480605"/>
    <w:rsid w:val="00480BB3"/>
    <w:rsid w:val="00482857"/>
    <w:rsid w:val="0048361A"/>
    <w:rsid w:val="00483E59"/>
    <w:rsid w:val="00483E7B"/>
    <w:rsid w:val="00484577"/>
    <w:rsid w:val="00484614"/>
    <w:rsid w:val="0048546A"/>
    <w:rsid w:val="00485538"/>
    <w:rsid w:val="00485E50"/>
    <w:rsid w:val="00486F18"/>
    <w:rsid w:val="00490266"/>
    <w:rsid w:val="004909FC"/>
    <w:rsid w:val="004916CA"/>
    <w:rsid w:val="00492A5A"/>
    <w:rsid w:val="00492E76"/>
    <w:rsid w:val="00493BDF"/>
    <w:rsid w:val="00493C66"/>
    <w:rsid w:val="00494466"/>
    <w:rsid w:val="004953F7"/>
    <w:rsid w:val="00496AB5"/>
    <w:rsid w:val="00496AF8"/>
    <w:rsid w:val="00496C69"/>
    <w:rsid w:val="00497433"/>
    <w:rsid w:val="00497ABE"/>
    <w:rsid w:val="004A002F"/>
    <w:rsid w:val="004A0255"/>
    <w:rsid w:val="004A0487"/>
    <w:rsid w:val="004A086D"/>
    <w:rsid w:val="004A0A0F"/>
    <w:rsid w:val="004A2175"/>
    <w:rsid w:val="004A397D"/>
    <w:rsid w:val="004A4396"/>
    <w:rsid w:val="004A4F57"/>
    <w:rsid w:val="004A5799"/>
    <w:rsid w:val="004A6074"/>
    <w:rsid w:val="004A6449"/>
    <w:rsid w:val="004A7631"/>
    <w:rsid w:val="004A777C"/>
    <w:rsid w:val="004A7856"/>
    <w:rsid w:val="004B03DB"/>
    <w:rsid w:val="004B1841"/>
    <w:rsid w:val="004B37BD"/>
    <w:rsid w:val="004B3DC0"/>
    <w:rsid w:val="004B4368"/>
    <w:rsid w:val="004B4722"/>
    <w:rsid w:val="004B4D22"/>
    <w:rsid w:val="004B5106"/>
    <w:rsid w:val="004B59A8"/>
    <w:rsid w:val="004B5DA0"/>
    <w:rsid w:val="004B62FE"/>
    <w:rsid w:val="004B74AF"/>
    <w:rsid w:val="004B7BFB"/>
    <w:rsid w:val="004B7C89"/>
    <w:rsid w:val="004C004A"/>
    <w:rsid w:val="004C0189"/>
    <w:rsid w:val="004C03E7"/>
    <w:rsid w:val="004C1D0D"/>
    <w:rsid w:val="004C2E72"/>
    <w:rsid w:val="004C32E6"/>
    <w:rsid w:val="004C3B55"/>
    <w:rsid w:val="004C566F"/>
    <w:rsid w:val="004C5EE9"/>
    <w:rsid w:val="004C61F5"/>
    <w:rsid w:val="004C6A2D"/>
    <w:rsid w:val="004C7885"/>
    <w:rsid w:val="004D02CA"/>
    <w:rsid w:val="004D062B"/>
    <w:rsid w:val="004D096C"/>
    <w:rsid w:val="004D0BDA"/>
    <w:rsid w:val="004D167A"/>
    <w:rsid w:val="004D1957"/>
    <w:rsid w:val="004D2099"/>
    <w:rsid w:val="004D20D5"/>
    <w:rsid w:val="004D2B94"/>
    <w:rsid w:val="004D2C9A"/>
    <w:rsid w:val="004D3613"/>
    <w:rsid w:val="004D5887"/>
    <w:rsid w:val="004D5BDE"/>
    <w:rsid w:val="004D67FE"/>
    <w:rsid w:val="004D6FCF"/>
    <w:rsid w:val="004D7F5A"/>
    <w:rsid w:val="004E02D2"/>
    <w:rsid w:val="004E142D"/>
    <w:rsid w:val="004E194E"/>
    <w:rsid w:val="004E36BA"/>
    <w:rsid w:val="004E3A87"/>
    <w:rsid w:val="004E40C3"/>
    <w:rsid w:val="004E44C0"/>
    <w:rsid w:val="004E495A"/>
    <w:rsid w:val="004E50C0"/>
    <w:rsid w:val="004E5652"/>
    <w:rsid w:val="004E5A68"/>
    <w:rsid w:val="004E5E9F"/>
    <w:rsid w:val="004E69FC"/>
    <w:rsid w:val="004E7235"/>
    <w:rsid w:val="004E7F47"/>
    <w:rsid w:val="004F1724"/>
    <w:rsid w:val="004F3119"/>
    <w:rsid w:val="004F322E"/>
    <w:rsid w:val="004F3325"/>
    <w:rsid w:val="004F406E"/>
    <w:rsid w:val="004F4078"/>
    <w:rsid w:val="004F44C3"/>
    <w:rsid w:val="004F46EE"/>
    <w:rsid w:val="004F7044"/>
    <w:rsid w:val="004F7437"/>
    <w:rsid w:val="004F778D"/>
    <w:rsid w:val="004F7AA4"/>
    <w:rsid w:val="004F7DE1"/>
    <w:rsid w:val="005003C8"/>
    <w:rsid w:val="0050208E"/>
    <w:rsid w:val="005023D2"/>
    <w:rsid w:val="0050451B"/>
    <w:rsid w:val="00504C57"/>
    <w:rsid w:val="00504CBF"/>
    <w:rsid w:val="005064B0"/>
    <w:rsid w:val="00506B56"/>
    <w:rsid w:val="0050705D"/>
    <w:rsid w:val="0051054E"/>
    <w:rsid w:val="00510E67"/>
    <w:rsid w:val="005112FC"/>
    <w:rsid w:val="00511CA5"/>
    <w:rsid w:val="00511E16"/>
    <w:rsid w:val="0051269B"/>
    <w:rsid w:val="005131B5"/>
    <w:rsid w:val="005139BE"/>
    <w:rsid w:val="00513D30"/>
    <w:rsid w:val="00513E83"/>
    <w:rsid w:val="0051414D"/>
    <w:rsid w:val="00514E48"/>
    <w:rsid w:val="0051550D"/>
    <w:rsid w:val="00515930"/>
    <w:rsid w:val="00515BF3"/>
    <w:rsid w:val="00515F8C"/>
    <w:rsid w:val="005165E0"/>
    <w:rsid w:val="00517101"/>
    <w:rsid w:val="00517794"/>
    <w:rsid w:val="00517CE7"/>
    <w:rsid w:val="00520212"/>
    <w:rsid w:val="00520C06"/>
    <w:rsid w:val="00521088"/>
    <w:rsid w:val="00521A50"/>
    <w:rsid w:val="0052211F"/>
    <w:rsid w:val="00522503"/>
    <w:rsid w:val="00522DE0"/>
    <w:rsid w:val="00523224"/>
    <w:rsid w:val="00523C9C"/>
    <w:rsid w:val="00524C8F"/>
    <w:rsid w:val="0052565D"/>
    <w:rsid w:val="00525A59"/>
    <w:rsid w:val="00525C15"/>
    <w:rsid w:val="005261C7"/>
    <w:rsid w:val="005262E8"/>
    <w:rsid w:val="00526364"/>
    <w:rsid w:val="005269D0"/>
    <w:rsid w:val="00527654"/>
    <w:rsid w:val="00527BCC"/>
    <w:rsid w:val="00530124"/>
    <w:rsid w:val="005307DD"/>
    <w:rsid w:val="00530E62"/>
    <w:rsid w:val="00531579"/>
    <w:rsid w:val="00531B33"/>
    <w:rsid w:val="00531E1A"/>
    <w:rsid w:val="0053279E"/>
    <w:rsid w:val="0053303B"/>
    <w:rsid w:val="00533E6E"/>
    <w:rsid w:val="00534068"/>
    <w:rsid w:val="00534A76"/>
    <w:rsid w:val="00535ADA"/>
    <w:rsid w:val="00536AB6"/>
    <w:rsid w:val="00537531"/>
    <w:rsid w:val="005400D6"/>
    <w:rsid w:val="00540288"/>
    <w:rsid w:val="00540F53"/>
    <w:rsid w:val="00542720"/>
    <w:rsid w:val="0054287C"/>
    <w:rsid w:val="00542B98"/>
    <w:rsid w:val="00543387"/>
    <w:rsid w:val="00543B7D"/>
    <w:rsid w:val="00544A2C"/>
    <w:rsid w:val="00545918"/>
    <w:rsid w:val="00547052"/>
    <w:rsid w:val="005504BE"/>
    <w:rsid w:val="00550834"/>
    <w:rsid w:val="00550CAC"/>
    <w:rsid w:val="0055127B"/>
    <w:rsid w:val="00551348"/>
    <w:rsid w:val="00551BF2"/>
    <w:rsid w:val="00552AB5"/>
    <w:rsid w:val="00552D1E"/>
    <w:rsid w:val="00552E8B"/>
    <w:rsid w:val="0055309F"/>
    <w:rsid w:val="005531E2"/>
    <w:rsid w:val="005545D2"/>
    <w:rsid w:val="005548D3"/>
    <w:rsid w:val="00554A53"/>
    <w:rsid w:val="00554AD4"/>
    <w:rsid w:val="00555020"/>
    <w:rsid w:val="005556CC"/>
    <w:rsid w:val="00555D5B"/>
    <w:rsid w:val="00556687"/>
    <w:rsid w:val="00556C04"/>
    <w:rsid w:val="00557080"/>
    <w:rsid w:val="00557562"/>
    <w:rsid w:val="005575A5"/>
    <w:rsid w:val="0055780C"/>
    <w:rsid w:val="005578A8"/>
    <w:rsid w:val="00561540"/>
    <w:rsid w:val="00561562"/>
    <w:rsid w:val="00561E11"/>
    <w:rsid w:val="00562DC5"/>
    <w:rsid w:val="0056588F"/>
    <w:rsid w:val="00565EDC"/>
    <w:rsid w:val="00567B20"/>
    <w:rsid w:val="00567C93"/>
    <w:rsid w:val="00567F82"/>
    <w:rsid w:val="005710AF"/>
    <w:rsid w:val="005712A2"/>
    <w:rsid w:val="005724C0"/>
    <w:rsid w:val="0057265D"/>
    <w:rsid w:val="00573455"/>
    <w:rsid w:val="0057397F"/>
    <w:rsid w:val="00573E5B"/>
    <w:rsid w:val="00574A69"/>
    <w:rsid w:val="00574D91"/>
    <w:rsid w:val="0057595B"/>
    <w:rsid w:val="005759F3"/>
    <w:rsid w:val="00575B96"/>
    <w:rsid w:val="005775D9"/>
    <w:rsid w:val="005777DE"/>
    <w:rsid w:val="00577E35"/>
    <w:rsid w:val="00577FB1"/>
    <w:rsid w:val="005822FB"/>
    <w:rsid w:val="005832ED"/>
    <w:rsid w:val="0058442D"/>
    <w:rsid w:val="005845B4"/>
    <w:rsid w:val="00584B97"/>
    <w:rsid w:val="00584EB8"/>
    <w:rsid w:val="005851BB"/>
    <w:rsid w:val="00585A53"/>
    <w:rsid w:val="00585CF6"/>
    <w:rsid w:val="00586280"/>
    <w:rsid w:val="0058666E"/>
    <w:rsid w:val="00586831"/>
    <w:rsid w:val="00587C31"/>
    <w:rsid w:val="00590ED8"/>
    <w:rsid w:val="00591697"/>
    <w:rsid w:val="00591B6C"/>
    <w:rsid w:val="00593A7C"/>
    <w:rsid w:val="00594185"/>
    <w:rsid w:val="00594469"/>
    <w:rsid w:val="005959FF"/>
    <w:rsid w:val="00595F77"/>
    <w:rsid w:val="00596106"/>
    <w:rsid w:val="00596790"/>
    <w:rsid w:val="00596D1D"/>
    <w:rsid w:val="005A01D1"/>
    <w:rsid w:val="005A0256"/>
    <w:rsid w:val="005A1248"/>
    <w:rsid w:val="005A1B7C"/>
    <w:rsid w:val="005A1D46"/>
    <w:rsid w:val="005A202B"/>
    <w:rsid w:val="005A21A9"/>
    <w:rsid w:val="005A2308"/>
    <w:rsid w:val="005A2930"/>
    <w:rsid w:val="005A384E"/>
    <w:rsid w:val="005A3E90"/>
    <w:rsid w:val="005A52A1"/>
    <w:rsid w:val="005A5C3E"/>
    <w:rsid w:val="005A6D1D"/>
    <w:rsid w:val="005B0778"/>
    <w:rsid w:val="005B0D55"/>
    <w:rsid w:val="005B0E88"/>
    <w:rsid w:val="005B0E98"/>
    <w:rsid w:val="005B117F"/>
    <w:rsid w:val="005B1227"/>
    <w:rsid w:val="005B1253"/>
    <w:rsid w:val="005B14E3"/>
    <w:rsid w:val="005B1959"/>
    <w:rsid w:val="005B2631"/>
    <w:rsid w:val="005B2A3D"/>
    <w:rsid w:val="005B33CA"/>
    <w:rsid w:val="005B421E"/>
    <w:rsid w:val="005B5046"/>
    <w:rsid w:val="005B54CC"/>
    <w:rsid w:val="005B5814"/>
    <w:rsid w:val="005B590F"/>
    <w:rsid w:val="005B66EE"/>
    <w:rsid w:val="005B6F63"/>
    <w:rsid w:val="005C0033"/>
    <w:rsid w:val="005C01C7"/>
    <w:rsid w:val="005C07FE"/>
    <w:rsid w:val="005C0EB7"/>
    <w:rsid w:val="005C20F0"/>
    <w:rsid w:val="005C2E55"/>
    <w:rsid w:val="005C3BD2"/>
    <w:rsid w:val="005C43ED"/>
    <w:rsid w:val="005C5958"/>
    <w:rsid w:val="005C61BD"/>
    <w:rsid w:val="005C6B44"/>
    <w:rsid w:val="005C711F"/>
    <w:rsid w:val="005C720C"/>
    <w:rsid w:val="005C7269"/>
    <w:rsid w:val="005C7272"/>
    <w:rsid w:val="005C73A9"/>
    <w:rsid w:val="005C7464"/>
    <w:rsid w:val="005C75F5"/>
    <w:rsid w:val="005C784F"/>
    <w:rsid w:val="005C7F31"/>
    <w:rsid w:val="005D0365"/>
    <w:rsid w:val="005D070B"/>
    <w:rsid w:val="005D105F"/>
    <w:rsid w:val="005D1161"/>
    <w:rsid w:val="005D193C"/>
    <w:rsid w:val="005D1F9E"/>
    <w:rsid w:val="005D246D"/>
    <w:rsid w:val="005D2B0A"/>
    <w:rsid w:val="005D4EF1"/>
    <w:rsid w:val="005D534F"/>
    <w:rsid w:val="005D5631"/>
    <w:rsid w:val="005D5935"/>
    <w:rsid w:val="005D682A"/>
    <w:rsid w:val="005D6F8F"/>
    <w:rsid w:val="005D724F"/>
    <w:rsid w:val="005D7AC1"/>
    <w:rsid w:val="005D7E6B"/>
    <w:rsid w:val="005E08F8"/>
    <w:rsid w:val="005E0B56"/>
    <w:rsid w:val="005E0DDC"/>
    <w:rsid w:val="005E1D4B"/>
    <w:rsid w:val="005E24AE"/>
    <w:rsid w:val="005E2816"/>
    <w:rsid w:val="005E3729"/>
    <w:rsid w:val="005E4A63"/>
    <w:rsid w:val="005E4B36"/>
    <w:rsid w:val="005E6BCB"/>
    <w:rsid w:val="005E7448"/>
    <w:rsid w:val="005F00C6"/>
    <w:rsid w:val="005F023D"/>
    <w:rsid w:val="005F0442"/>
    <w:rsid w:val="005F0577"/>
    <w:rsid w:val="005F2916"/>
    <w:rsid w:val="005F395C"/>
    <w:rsid w:val="005F408A"/>
    <w:rsid w:val="005F4EF7"/>
    <w:rsid w:val="005F4F15"/>
    <w:rsid w:val="005F53CC"/>
    <w:rsid w:val="005F6D69"/>
    <w:rsid w:val="005F6F07"/>
    <w:rsid w:val="005F70A3"/>
    <w:rsid w:val="005F7324"/>
    <w:rsid w:val="005F76DD"/>
    <w:rsid w:val="005F7708"/>
    <w:rsid w:val="005F7737"/>
    <w:rsid w:val="005F78C9"/>
    <w:rsid w:val="005F7FCA"/>
    <w:rsid w:val="00600564"/>
    <w:rsid w:val="006006A3"/>
    <w:rsid w:val="00600F24"/>
    <w:rsid w:val="00602C50"/>
    <w:rsid w:val="006039C9"/>
    <w:rsid w:val="00603CCB"/>
    <w:rsid w:val="00604EFD"/>
    <w:rsid w:val="00605081"/>
    <w:rsid w:val="006058AD"/>
    <w:rsid w:val="00606677"/>
    <w:rsid w:val="006102C5"/>
    <w:rsid w:val="00610815"/>
    <w:rsid w:val="00611E4C"/>
    <w:rsid w:val="006133D0"/>
    <w:rsid w:val="00613AE9"/>
    <w:rsid w:val="00613C74"/>
    <w:rsid w:val="00613CF0"/>
    <w:rsid w:val="0061404A"/>
    <w:rsid w:val="006149E8"/>
    <w:rsid w:val="006153F5"/>
    <w:rsid w:val="00616260"/>
    <w:rsid w:val="006166FB"/>
    <w:rsid w:val="00617965"/>
    <w:rsid w:val="00617C13"/>
    <w:rsid w:val="00621F55"/>
    <w:rsid w:val="0062251B"/>
    <w:rsid w:val="006238FD"/>
    <w:rsid w:val="00623C10"/>
    <w:rsid w:val="006254F3"/>
    <w:rsid w:val="00625EBF"/>
    <w:rsid w:val="00625ED9"/>
    <w:rsid w:val="00626451"/>
    <w:rsid w:val="00626E24"/>
    <w:rsid w:val="0062731C"/>
    <w:rsid w:val="006273BD"/>
    <w:rsid w:val="00627F19"/>
    <w:rsid w:val="00627FF0"/>
    <w:rsid w:val="00630D0D"/>
    <w:rsid w:val="006314BC"/>
    <w:rsid w:val="00631D2C"/>
    <w:rsid w:val="00631EF6"/>
    <w:rsid w:val="00632AC5"/>
    <w:rsid w:val="00632B37"/>
    <w:rsid w:val="00632DFF"/>
    <w:rsid w:val="00633231"/>
    <w:rsid w:val="00633CE4"/>
    <w:rsid w:val="00634B11"/>
    <w:rsid w:val="0063507E"/>
    <w:rsid w:val="0063591C"/>
    <w:rsid w:val="00635D50"/>
    <w:rsid w:val="00636636"/>
    <w:rsid w:val="0063708A"/>
    <w:rsid w:val="00637394"/>
    <w:rsid w:val="00640EC1"/>
    <w:rsid w:val="006428F9"/>
    <w:rsid w:val="00643083"/>
    <w:rsid w:val="00643A8B"/>
    <w:rsid w:val="0064404E"/>
    <w:rsid w:val="006448CF"/>
    <w:rsid w:val="00644F8C"/>
    <w:rsid w:val="0064703D"/>
    <w:rsid w:val="00647713"/>
    <w:rsid w:val="00647922"/>
    <w:rsid w:val="006501A1"/>
    <w:rsid w:val="006502D1"/>
    <w:rsid w:val="0065191C"/>
    <w:rsid w:val="00652263"/>
    <w:rsid w:val="006524C0"/>
    <w:rsid w:val="006526A2"/>
    <w:rsid w:val="00653BE6"/>
    <w:rsid w:val="00653BFA"/>
    <w:rsid w:val="00653D9D"/>
    <w:rsid w:val="0065427F"/>
    <w:rsid w:val="00654D4A"/>
    <w:rsid w:val="00655522"/>
    <w:rsid w:val="006555E0"/>
    <w:rsid w:val="00656235"/>
    <w:rsid w:val="006567F5"/>
    <w:rsid w:val="00657054"/>
    <w:rsid w:val="00657692"/>
    <w:rsid w:val="00657B8F"/>
    <w:rsid w:val="00657DE3"/>
    <w:rsid w:val="006603ED"/>
    <w:rsid w:val="00660857"/>
    <w:rsid w:val="0066185B"/>
    <w:rsid w:val="00661EC3"/>
    <w:rsid w:val="00663035"/>
    <w:rsid w:val="006668C8"/>
    <w:rsid w:val="00666927"/>
    <w:rsid w:val="00666D73"/>
    <w:rsid w:val="006670B6"/>
    <w:rsid w:val="00667211"/>
    <w:rsid w:val="00667D8B"/>
    <w:rsid w:val="0067071C"/>
    <w:rsid w:val="0067079F"/>
    <w:rsid w:val="00670C25"/>
    <w:rsid w:val="006718B5"/>
    <w:rsid w:val="00672350"/>
    <w:rsid w:val="006732B7"/>
    <w:rsid w:val="00673DF2"/>
    <w:rsid w:val="00673EDD"/>
    <w:rsid w:val="00674E22"/>
    <w:rsid w:val="00674FAF"/>
    <w:rsid w:val="006752BF"/>
    <w:rsid w:val="006757DD"/>
    <w:rsid w:val="0067630F"/>
    <w:rsid w:val="00680301"/>
    <w:rsid w:val="006806BA"/>
    <w:rsid w:val="00680ADC"/>
    <w:rsid w:val="00682351"/>
    <w:rsid w:val="00682633"/>
    <w:rsid w:val="006838F7"/>
    <w:rsid w:val="00683F87"/>
    <w:rsid w:val="00684152"/>
    <w:rsid w:val="00684EC3"/>
    <w:rsid w:val="00685379"/>
    <w:rsid w:val="00685604"/>
    <w:rsid w:val="00687900"/>
    <w:rsid w:val="00687CD6"/>
    <w:rsid w:val="00690733"/>
    <w:rsid w:val="00690A01"/>
    <w:rsid w:val="00690D3B"/>
    <w:rsid w:val="00690FDB"/>
    <w:rsid w:val="006910FC"/>
    <w:rsid w:val="0069124B"/>
    <w:rsid w:val="006912CF"/>
    <w:rsid w:val="0069173C"/>
    <w:rsid w:val="0069178A"/>
    <w:rsid w:val="00691A94"/>
    <w:rsid w:val="00691C8F"/>
    <w:rsid w:val="006936B4"/>
    <w:rsid w:val="00693CE9"/>
    <w:rsid w:val="00694782"/>
    <w:rsid w:val="00694B32"/>
    <w:rsid w:val="00695CF3"/>
    <w:rsid w:val="006969D7"/>
    <w:rsid w:val="0069762E"/>
    <w:rsid w:val="006977FD"/>
    <w:rsid w:val="006A0CBB"/>
    <w:rsid w:val="006A143C"/>
    <w:rsid w:val="006A1B3F"/>
    <w:rsid w:val="006A2FAE"/>
    <w:rsid w:val="006A3E71"/>
    <w:rsid w:val="006A5162"/>
    <w:rsid w:val="006A565C"/>
    <w:rsid w:val="006A5664"/>
    <w:rsid w:val="006A56EB"/>
    <w:rsid w:val="006A5E0F"/>
    <w:rsid w:val="006A6857"/>
    <w:rsid w:val="006A6A74"/>
    <w:rsid w:val="006A71F7"/>
    <w:rsid w:val="006B08E7"/>
    <w:rsid w:val="006B118C"/>
    <w:rsid w:val="006B1200"/>
    <w:rsid w:val="006B15F5"/>
    <w:rsid w:val="006B2459"/>
    <w:rsid w:val="006B26EA"/>
    <w:rsid w:val="006B286C"/>
    <w:rsid w:val="006B2DFF"/>
    <w:rsid w:val="006B3211"/>
    <w:rsid w:val="006B34B4"/>
    <w:rsid w:val="006B35BB"/>
    <w:rsid w:val="006B4215"/>
    <w:rsid w:val="006B5203"/>
    <w:rsid w:val="006B542F"/>
    <w:rsid w:val="006B6632"/>
    <w:rsid w:val="006B6BE6"/>
    <w:rsid w:val="006B7437"/>
    <w:rsid w:val="006C0020"/>
    <w:rsid w:val="006C0074"/>
    <w:rsid w:val="006C11E5"/>
    <w:rsid w:val="006C2441"/>
    <w:rsid w:val="006C24EF"/>
    <w:rsid w:val="006C2AFE"/>
    <w:rsid w:val="006C2B70"/>
    <w:rsid w:val="006C3119"/>
    <w:rsid w:val="006C42B1"/>
    <w:rsid w:val="006C5409"/>
    <w:rsid w:val="006C5FCD"/>
    <w:rsid w:val="006C7618"/>
    <w:rsid w:val="006D032D"/>
    <w:rsid w:val="006D05FF"/>
    <w:rsid w:val="006D07E2"/>
    <w:rsid w:val="006D1EB4"/>
    <w:rsid w:val="006D2EFC"/>
    <w:rsid w:val="006D33FA"/>
    <w:rsid w:val="006D3B1A"/>
    <w:rsid w:val="006D4303"/>
    <w:rsid w:val="006D4836"/>
    <w:rsid w:val="006D5461"/>
    <w:rsid w:val="006D5E2D"/>
    <w:rsid w:val="006D5FC9"/>
    <w:rsid w:val="006D6E33"/>
    <w:rsid w:val="006D77FF"/>
    <w:rsid w:val="006D7A23"/>
    <w:rsid w:val="006D7E0E"/>
    <w:rsid w:val="006E0D4E"/>
    <w:rsid w:val="006E1DEA"/>
    <w:rsid w:val="006E1E52"/>
    <w:rsid w:val="006E2075"/>
    <w:rsid w:val="006E20E6"/>
    <w:rsid w:val="006E226A"/>
    <w:rsid w:val="006E3292"/>
    <w:rsid w:val="006E44AA"/>
    <w:rsid w:val="006E65DE"/>
    <w:rsid w:val="006E6C49"/>
    <w:rsid w:val="006F0B50"/>
    <w:rsid w:val="006F0BFB"/>
    <w:rsid w:val="006F1819"/>
    <w:rsid w:val="006F197F"/>
    <w:rsid w:val="006F1D08"/>
    <w:rsid w:val="006F24F2"/>
    <w:rsid w:val="006F2D7F"/>
    <w:rsid w:val="006F4895"/>
    <w:rsid w:val="006F4B53"/>
    <w:rsid w:val="006F4BED"/>
    <w:rsid w:val="006F52F5"/>
    <w:rsid w:val="006F59BC"/>
    <w:rsid w:val="006F6A35"/>
    <w:rsid w:val="006F765B"/>
    <w:rsid w:val="006F7D10"/>
    <w:rsid w:val="006F7E5E"/>
    <w:rsid w:val="00700BA9"/>
    <w:rsid w:val="00700DC9"/>
    <w:rsid w:val="0070112C"/>
    <w:rsid w:val="007018C9"/>
    <w:rsid w:val="0070199A"/>
    <w:rsid w:val="00701FBE"/>
    <w:rsid w:val="007028A4"/>
    <w:rsid w:val="00702AE4"/>
    <w:rsid w:val="0070309D"/>
    <w:rsid w:val="007030A2"/>
    <w:rsid w:val="00703989"/>
    <w:rsid w:val="00704544"/>
    <w:rsid w:val="007045DA"/>
    <w:rsid w:val="007048CD"/>
    <w:rsid w:val="0070554A"/>
    <w:rsid w:val="007056B8"/>
    <w:rsid w:val="0070698B"/>
    <w:rsid w:val="00706DBD"/>
    <w:rsid w:val="007079E5"/>
    <w:rsid w:val="00707A48"/>
    <w:rsid w:val="00707E0B"/>
    <w:rsid w:val="00711480"/>
    <w:rsid w:val="00711ACF"/>
    <w:rsid w:val="00711B78"/>
    <w:rsid w:val="00711F87"/>
    <w:rsid w:val="00712165"/>
    <w:rsid w:val="0071296C"/>
    <w:rsid w:val="00712C58"/>
    <w:rsid w:val="007138BB"/>
    <w:rsid w:val="00713F72"/>
    <w:rsid w:val="007159DB"/>
    <w:rsid w:val="00715B27"/>
    <w:rsid w:val="0071696A"/>
    <w:rsid w:val="007172A2"/>
    <w:rsid w:val="00721D77"/>
    <w:rsid w:val="00721F43"/>
    <w:rsid w:val="007227C9"/>
    <w:rsid w:val="007227E8"/>
    <w:rsid w:val="0072400E"/>
    <w:rsid w:val="0072404C"/>
    <w:rsid w:val="00724632"/>
    <w:rsid w:val="00724B47"/>
    <w:rsid w:val="00724B67"/>
    <w:rsid w:val="007254B7"/>
    <w:rsid w:val="00725A22"/>
    <w:rsid w:val="007263C9"/>
    <w:rsid w:val="007269CF"/>
    <w:rsid w:val="0072702B"/>
    <w:rsid w:val="007277EF"/>
    <w:rsid w:val="007278D4"/>
    <w:rsid w:val="0072798B"/>
    <w:rsid w:val="007303C2"/>
    <w:rsid w:val="00732C87"/>
    <w:rsid w:val="0073358A"/>
    <w:rsid w:val="00735E77"/>
    <w:rsid w:val="00736B5D"/>
    <w:rsid w:val="007371A5"/>
    <w:rsid w:val="00737C5E"/>
    <w:rsid w:val="00737DAB"/>
    <w:rsid w:val="00737FB7"/>
    <w:rsid w:val="007408DA"/>
    <w:rsid w:val="00740C2A"/>
    <w:rsid w:val="00741693"/>
    <w:rsid w:val="00741E1E"/>
    <w:rsid w:val="0074284C"/>
    <w:rsid w:val="00742C9B"/>
    <w:rsid w:val="0074471D"/>
    <w:rsid w:val="00744B8C"/>
    <w:rsid w:val="00744C2D"/>
    <w:rsid w:val="00744E11"/>
    <w:rsid w:val="00745295"/>
    <w:rsid w:val="0074605D"/>
    <w:rsid w:val="00746188"/>
    <w:rsid w:val="00746306"/>
    <w:rsid w:val="007464D2"/>
    <w:rsid w:val="0074704C"/>
    <w:rsid w:val="007470CC"/>
    <w:rsid w:val="00747455"/>
    <w:rsid w:val="00747E8C"/>
    <w:rsid w:val="00750EEF"/>
    <w:rsid w:val="0075160F"/>
    <w:rsid w:val="00751EA3"/>
    <w:rsid w:val="007523F8"/>
    <w:rsid w:val="007529AC"/>
    <w:rsid w:val="007529F0"/>
    <w:rsid w:val="007534AE"/>
    <w:rsid w:val="0075357E"/>
    <w:rsid w:val="00753695"/>
    <w:rsid w:val="00753953"/>
    <w:rsid w:val="00753ABE"/>
    <w:rsid w:val="007546CE"/>
    <w:rsid w:val="00754D40"/>
    <w:rsid w:val="00755584"/>
    <w:rsid w:val="00755B72"/>
    <w:rsid w:val="00755CF7"/>
    <w:rsid w:val="00756C45"/>
    <w:rsid w:val="00760DFD"/>
    <w:rsid w:val="00760F74"/>
    <w:rsid w:val="00761011"/>
    <w:rsid w:val="00761850"/>
    <w:rsid w:val="00761DE7"/>
    <w:rsid w:val="0076262C"/>
    <w:rsid w:val="007628CC"/>
    <w:rsid w:val="00762E7F"/>
    <w:rsid w:val="00762EBC"/>
    <w:rsid w:val="0076434A"/>
    <w:rsid w:val="007648B8"/>
    <w:rsid w:val="007656EF"/>
    <w:rsid w:val="00766865"/>
    <w:rsid w:val="00766881"/>
    <w:rsid w:val="007726F9"/>
    <w:rsid w:val="00773B44"/>
    <w:rsid w:val="00774B58"/>
    <w:rsid w:val="00774C34"/>
    <w:rsid w:val="007754C3"/>
    <w:rsid w:val="00775C3E"/>
    <w:rsid w:val="00776113"/>
    <w:rsid w:val="00776CB6"/>
    <w:rsid w:val="00777678"/>
    <w:rsid w:val="0077781E"/>
    <w:rsid w:val="0078080F"/>
    <w:rsid w:val="00781023"/>
    <w:rsid w:val="007820ED"/>
    <w:rsid w:val="00782401"/>
    <w:rsid w:val="00783C0F"/>
    <w:rsid w:val="00783D07"/>
    <w:rsid w:val="00784C8B"/>
    <w:rsid w:val="00786C33"/>
    <w:rsid w:val="007874D1"/>
    <w:rsid w:val="007875D5"/>
    <w:rsid w:val="00787D78"/>
    <w:rsid w:val="00790703"/>
    <w:rsid w:val="00790C5B"/>
    <w:rsid w:val="00790CEE"/>
    <w:rsid w:val="00790DA4"/>
    <w:rsid w:val="00791727"/>
    <w:rsid w:val="00792191"/>
    <w:rsid w:val="00792357"/>
    <w:rsid w:val="0079318C"/>
    <w:rsid w:val="00793523"/>
    <w:rsid w:val="00793DC1"/>
    <w:rsid w:val="00793F8B"/>
    <w:rsid w:val="007944A4"/>
    <w:rsid w:val="00794535"/>
    <w:rsid w:val="007947F9"/>
    <w:rsid w:val="007953C8"/>
    <w:rsid w:val="007957CC"/>
    <w:rsid w:val="00795CE3"/>
    <w:rsid w:val="007963AE"/>
    <w:rsid w:val="007965C2"/>
    <w:rsid w:val="007968FB"/>
    <w:rsid w:val="00796E43"/>
    <w:rsid w:val="00796F44"/>
    <w:rsid w:val="0079700A"/>
    <w:rsid w:val="007974B4"/>
    <w:rsid w:val="00797B7E"/>
    <w:rsid w:val="00797C57"/>
    <w:rsid w:val="007A0E74"/>
    <w:rsid w:val="007A138E"/>
    <w:rsid w:val="007A18D7"/>
    <w:rsid w:val="007A20FD"/>
    <w:rsid w:val="007A2BB3"/>
    <w:rsid w:val="007A2D84"/>
    <w:rsid w:val="007A2F9A"/>
    <w:rsid w:val="007A380F"/>
    <w:rsid w:val="007A4055"/>
    <w:rsid w:val="007A4D4E"/>
    <w:rsid w:val="007A5904"/>
    <w:rsid w:val="007A5C1E"/>
    <w:rsid w:val="007A5CC9"/>
    <w:rsid w:val="007A6868"/>
    <w:rsid w:val="007A6B3B"/>
    <w:rsid w:val="007A6CD4"/>
    <w:rsid w:val="007A7C19"/>
    <w:rsid w:val="007B0218"/>
    <w:rsid w:val="007B1C45"/>
    <w:rsid w:val="007B2444"/>
    <w:rsid w:val="007B2E12"/>
    <w:rsid w:val="007B6021"/>
    <w:rsid w:val="007B6E63"/>
    <w:rsid w:val="007B700A"/>
    <w:rsid w:val="007C1804"/>
    <w:rsid w:val="007C1B4E"/>
    <w:rsid w:val="007C1DC2"/>
    <w:rsid w:val="007C2BA1"/>
    <w:rsid w:val="007C4732"/>
    <w:rsid w:val="007C4A39"/>
    <w:rsid w:val="007C51C5"/>
    <w:rsid w:val="007C588B"/>
    <w:rsid w:val="007C5D21"/>
    <w:rsid w:val="007C742E"/>
    <w:rsid w:val="007D199E"/>
    <w:rsid w:val="007D21A9"/>
    <w:rsid w:val="007D26F8"/>
    <w:rsid w:val="007D2EB2"/>
    <w:rsid w:val="007D357E"/>
    <w:rsid w:val="007D3A06"/>
    <w:rsid w:val="007D3E79"/>
    <w:rsid w:val="007D40DF"/>
    <w:rsid w:val="007D4622"/>
    <w:rsid w:val="007D49E1"/>
    <w:rsid w:val="007D4A9C"/>
    <w:rsid w:val="007D6E03"/>
    <w:rsid w:val="007E01CF"/>
    <w:rsid w:val="007E1810"/>
    <w:rsid w:val="007E1827"/>
    <w:rsid w:val="007E2824"/>
    <w:rsid w:val="007E2ECA"/>
    <w:rsid w:val="007E3782"/>
    <w:rsid w:val="007E38C0"/>
    <w:rsid w:val="007E3BE9"/>
    <w:rsid w:val="007E4135"/>
    <w:rsid w:val="007E5253"/>
    <w:rsid w:val="007E59B0"/>
    <w:rsid w:val="007E6D75"/>
    <w:rsid w:val="007E75CF"/>
    <w:rsid w:val="007F0403"/>
    <w:rsid w:val="007F0552"/>
    <w:rsid w:val="007F129A"/>
    <w:rsid w:val="007F12ED"/>
    <w:rsid w:val="007F169B"/>
    <w:rsid w:val="007F1F2B"/>
    <w:rsid w:val="007F288F"/>
    <w:rsid w:val="007F2BF4"/>
    <w:rsid w:val="007F2CB1"/>
    <w:rsid w:val="007F2F39"/>
    <w:rsid w:val="007F3369"/>
    <w:rsid w:val="007F34EE"/>
    <w:rsid w:val="007F4FDF"/>
    <w:rsid w:val="007F5147"/>
    <w:rsid w:val="007F5258"/>
    <w:rsid w:val="007F5B50"/>
    <w:rsid w:val="007F5C01"/>
    <w:rsid w:val="007F6154"/>
    <w:rsid w:val="008000AF"/>
    <w:rsid w:val="00800FF1"/>
    <w:rsid w:val="0080238D"/>
    <w:rsid w:val="008023F4"/>
    <w:rsid w:val="00803621"/>
    <w:rsid w:val="00803B5E"/>
    <w:rsid w:val="008060C6"/>
    <w:rsid w:val="00806470"/>
    <w:rsid w:val="0080687C"/>
    <w:rsid w:val="008078C2"/>
    <w:rsid w:val="00807B7F"/>
    <w:rsid w:val="00807D92"/>
    <w:rsid w:val="00810293"/>
    <w:rsid w:val="00810AC1"/>
    <w:rsid w:val="00811621"/>
    <w:rsid w:val="0081172C"/>
    <w:rsid w:val="00816302"/>
    <w:rsid w:val="008167F9"/>
    <w:rsid w:val="00816CD9"/>
    <w:rsid w:val="008200CD"/>
    <w:rsid w:val="0082031B"/>
    <w:rsid w:val="00820924"/>
    <w:rsid w:val="00820D16"/>
    <w:rsid w:val="00822832"/>
    <w:rsid w:val="00822A1D"/>
    <w:rsid w:val="008232D5"/>
    <w:rsid w:val="00823D84"/>
    <w:rsid w:val="00824C13"/>
    <w:rsid w:val="00825664"/>
    <w:rsid w:val="00830501"/>
    <w:rsid w:val="00831243"/>
    <w:rsid w:val="0083144A"/>
    <w:rsid w:val="00831919"/>
    <w:rsid w:val="008323FA"/>
    <w:rsid w:val="00832A6E"/>
    <w:rsid w:val="00833396"/>
    <w:rsid w:val="00833578"/>
    <w:rsid w:val="0083383B"/>
    <w:rsid w:val="00833AF0"/>
    <w:rsid w:val="00834D80"/>
    <w:rsid w:val="00834E68"/>
    <w:rsid w:val="00834FB9"/>
    <w:rsid w:val="00835EA0"/>
    <w:rsid w:val="00836875"/>
    <w:rsid w:val="00836C57"/>
    <w:rsid w:val="00836F04"/>
    <w:rsid w:val="00841666"/>
    <w:rsid w:val="00841BBB"/>
    <w:rsid w:val="008432A1"/>
    <w:rsid w:val="00843374"/>
    <w:rsid w:val="0084562F"/>
    <w:rsid w:val="0084666A"/>
    <w:rsid w:val="00847B31"/>
    <w:rsid w:val="00847EF8"/>
    <w:rsid w:val="00851444"/>
    <w:rsid w:val="008519CA"/>
    <w:rsid w:val="00851C55"/>
    <w:rsid w:val="00853602"/>
    <w:rsid w:val="00853CD4"/>
    <w:rsid w:val="00853DA6"/>
    <w:rsid w:val="00853DAA"/>
    <w:rsid w:val="0085453F"/>
    <w:rsid w:val="00854B34"/>
    <w:rsid w:val="0085552A"/>
    <w:rsid w:val="00855C31"/>
    <w:rsid w:val="008569FA"/>
    <w:rsid w:val="0086113B"/>
    <w:rsid w:val="00861A94"/>
    <w:rsid w:val="008629D8"/>
    <w:rsid w:val="00862AF2"/>
    <w:rsid w:val="008630A7"/>
    <w:rsid w:val="00863626"/>
    <w:rsid w:val="0086389D"/>
    <w:rsid w:val="00863F9C"/>
    <w:rsid w:val="008644A1"/>
    <w:rsid w:val="008645BF"/>
    <w:rsid w:val="00864B68"/>
    <w:rsid w:val="00864DBE"/>
    <w:rsid w:val="00865F20"/>
    <w:rsid w:val="008666D8"/>
    <w:rsid w:val="00866B59"/>
    <w:rsid w:val="008673CC"/>
    <w:rsid w:val="008676E7"/>
    <w:rsid w:val="0086786B"/>
    <w:rsid w:val="0086798E"/>
    <w:rsid w:val="0086799C"/>
    <w:rsid w:val="0087095D"/>
    <w:rsid w:val="00870BD4"/>
    <w:rsid w:val="00871D0A"/>
    <w:rsid w:val="0087272F"/>
    <w:rsid w:val="00872E08"/>
    <w:rsid w:val="008732D7"/>
    <w:rsid w:val="0087356D"/>
    <w:rsid w:val="00874850"/>
    <w:rsid w:val="00874F52"/>
    <w:rsid w:val="008753D4"/>
    <w:rsid w:val="008755FD"/>
    <w:rsid w:val="00877A2A"/>
    <w:rsid w:val="00877A84"/>
    <w:rsid w:val="00880B8E"/>
    <w:rsid w:val="00880C39"/>
    <w:rsid w:val="00881660"/>
    <w:rsid w:val="00881D8A"/>
    <w:rsid w:val="00882245"/>
    <w:rsid w:val="008843CB"/>
    <w:rsid w:val="008863A6"/>
    <w:rsid w:val="008864F5"/>
    <w:rsid w:val="00887369"/>
    <w:rsid w:val="00887D90"/>
    <w:rsid w:val="008903A3"/>
    <w:rsid w:val="00893F6C"/>
    <w:rsid w:val="0089453D"/>
    <w:rsid w:val="00894668"/>
    <w:rsid w:val="00894A13"/>
    <w:rsid w:val="008952F2"/>
    <w:rsid w:val="00895D62"/>
    <w:rsid w:val="00896137"/>
    <w:rsid w:val="00896B2E"/>
    <w:rsid w:val="00896D42"/>
    <w:rsid w:val="00897390"/>
    <w:rsid w:val="00897FEF"/>
    <w:rsid w:val="008A0ED1"/>
    <w:rsid w:val="008A2379"/>
    <w:rsid w:val="008A311B"/>
    <w:rsid w:val="008A3146"/>
    <w:rsid w:val="008A3F8D"/>
    <w:rsid w:val="008A47E2"/>
    <w:rsid w:val="008A4CF8"/>
    <w:rsid w:val="008A5024"/>
    <w:rsid w:val="008A5894"/>
    <w:rsid w:val="008A65CA"/>
    <w:rsid w:val="008A7115"/>
    <w:rsid w:val="008A7422"/>
    <w:rsid w:val="008B0254"/>
    <w:rsid w:val="008B1049"/>
    <w:rsid w:val="008B19F1"/>
    <w:rsid w:val="008B2A37"/>
    <w:rsid w:val="008B2E10"/>
    <w:rsid w:val="008B347B"/>
    <w:rsid w:val="008B401C"/>
    <w:rsid w:val="008B403E"/>
    <w:rsid w:val="008B40B7"/>
    <w:rsid w:val="008B45B7"/>
    <w:rsid w:val="008B4912"/>
    <w:rsid w:val="008B7526"/>
    <w:rsid w:val="008B778E"/>
    <w:rsid w:val="008C0D9A"/>
    <w:rsid w:val="008C21A0"/>
    <w:rsid w:val="008C231C"/>
    <w:rsid w:val="008C24F9"/>
    <w:rsid w:val="008C260D"/>
    <w:rsid w:val="008C2B03"/>
    <w:rsid w:val="008C3132"/>
    <w:rsid w:val="008C3B6B"/>
    <w:rsid w:val="008C44A8"/>
    <w:rsid w:val="008C71F0"/>
    <w:rsid w:val="008C7C91"/>
    <w:rsid w:val="008D06D9"/>
    <w:rsid w:val="008D0707"/>
    <w:rsid w:val="008D0F67"/>
    <w:rsid w:val="008D107F"/>
    <w:rsid w:val="008D11AA"/>
    <w:rsid w:val="008D13A9"/>
    <w:rsid w:val="008D148E"/>
    <w:rsid w:val="008D153B"/>
    <w:rsid w:val="008D1571"/>
    <w:rsid w:val="008D2313"/>
    <w:rsid w:val="008D2B26"/>
    <w:rsid w:val="008D2CCE"/>
    <w:rsid w:val="008D329D"/>
    <w:rsid w:val="008D4436"/>
    <w:rsid w:val="008D6D77"/>
    <w:rsid w:val="008D774B"/>
    <w:rsid w:val="008D7B67"/>
    <w:rsid w:val="008D7B6A"/>
    <w:rsid w:val="008E0CB5"/>
    <w:rsid w:val="008E10E7"/>
    <w:rsid w:val="008E10F0"/>
    <w:rsid w:val="008E13FE"/>
    <w:rsid w:val="008E1A15"/>
    <w:rsid w:val="008E2263"/>
    <w:rsid w:val="008E238B"/>
    <w:rsid w:val="008E267C"/>
    <w:rsid w:val="008E2875"/>
    <w:rsid w:val="008E2FE9"/>
    <w:rsid w:val="008E42FC"/>
    <w:rsid w:val="008E4D63"/>
    <w:rsid w:val="008E58FD"/>
    <w:rsid w:val="008E5A28"/>
    <w:rsid w:val="008E5C07"/>
    <w:rsid w:val="008E605C"/>
    <w:rsid w:val="008E6158"/>
    <w:rsid w:val="008E635F"/>
    <w:rsid w:val="008E65DE"/>
    <w:rsid w:val="008E66E0"/>
    <w:rsid w:val="008E7798"/>
    <w:rsid w:val="008F0092"/>
    <w:rsid w:val="008F012B"/>
    <w:rsid w:val="008F099C"/>
    <w:rsid w:val="008F0D19"/>
    <w:rsid w:val="008F130B"/>
    <w:rsid w:val="008F16CC"/>
    <w:rsid w:val="008F1F76"/>
    <w:rsid w:val="008F296A"/>
    <w:rsid w:val="008F37E9"/>
    <w:rsid w:val="008F3BC6"/>
    <w:rsid w:val="008F41E7"/>
    <w:rsid w:val="008F4800"/>
    <w:rsid w:val="008F4A9C"/>
    <w:rsid w:val="008F56AE"/>
    <w:rsid w:val="008F6315"/>
    <w:rsid w:val="008F6438"/>
    <w:rsid w:val="008F64F3"/>
    <w:rsid w:val="008F65F7"/>
    <w:rsid w:val="008F6EE7"/>
    <w:rsid w:val="008F732A"/>
    <w:rsid w:val="008F778E"/>
    <w:rsid w:val="008F7BCB"/>
    <w:rsid w:val="009002C5"/>
    <w:rsid w:val="00902198"/>
    <w:rsid w:val="0090296D"/>
    <w:rsid w:val="00902B84"/>
    <w:rsid w:val="00903790"/>
    <w:rsid w:val="00903DDA"/>
    <w:rsid w:val="00903F2B"/>
    <w:rsid w:val="00904147"/>
    <w:rsid w:val="00905168"/>
    <w:rsid w:val="00905AFF"/>
    <w:rsid w:val="00905C12"/>
    <w:rsid w:val="00906181"/>
    <w:rsid w:val="0090636E"/>
    <w:rsid w:val="00906423"/>
    <w:rsid w:val="009072D8"/>
    <w:rsid w:val="0090789A"/>
    <w:rsid w:val="00910048"/>
    <w:rsid w:val="00910238"/>
    <w:rsid w:val="009104DA"/>
    <w:rsid w:val="009105DE"/>
    <w:rsid w:val="00910CEA"/>
    <w:rsid w:val="00910D4D"/>
    <w:rsid w:val="00911992"/>
    <w:rsid w:val="00911A64"/>
    <w:rsid w:val="00912F82"/>
    <w:rsid w:val="00913A1E"/>
    <w:rsid w:val="00914407"/>
    <w:rsid w:val="009155C8"/>
    <w:rsid w:val="00915ABA"/>
    <w:rsid w:val="00916310"/>
    <w:rsid w:val="00917534"/>
    <w:rsid w:val="0092008D"/>
    <w:rsid w:val="009201DD"/>
    <w:rsid w:val="00921C39"/>
    <w:rsid w:val="0092242B"/>
    <w:rsid w:val="00922598"/>
    <w:rsid w:val="009228AD"/>
    <w:rsid w:val="00923433"/>
    <w:rsid w:val="0092353E"/>
    <w:rsid w:val="00924905"/>
    <w:rsid w:val="00927793"/>
    <w:rsid w:val="00927E57"/>
    <w:rsid w:val="009304F8"/>
    <w:rsid w:val="00931618"/>
    <w:rsid w:val="009323C7"/>
    <w:rsid w:val="009354C9"/>
    <w:rsid w:val="00935AEC"/>
    <w:rsid w:val="00935EB9"/>
    <w:rsid w:val="00937B51"/>
    <w:rsid w:val="00937CCE"/>
    <w:rsid w:val="00937D19"/>
    <w:rsid w:val="00940352"/>
    <w:rsid w:val="00940C43"/>
    <w:rsid w:val="0094139C"/>
    <w:rsid w:val="00941757"/>
    <w:rsid w:val="00942203"/>
    <w:rsid w:val="009422C9"/>
    <w:rsid w:val="00942469"/>
    <w:rsid w:val="00942651"/>
    <w:rsid w:val="009428E5"/>
    <w:rsid w:val="009438BB"/>
    <w:rsid w:val="00943F63"/>
    <w:rsid w:val="00943F66"/>
    <w:rsid w:val="0094553F"/>
    <w:rsid w:val="0094561C"/>
    <w:rsid w:val="00946803"/>
    <w:rsid w:val="00946897"/>
    <w:rsid w:val="009475FE"/>
    <w:rsid w:val="00950728"/>
    <w:rsid w:val="00950843"/>
    <w:rsid w:val="00950E84"/>
    <w:rsid w:val="00951538"/>
    <w:rsid w:val="0095192F"/>
    <w:rsid w:val="0095235D"/>
    <w:rsid w:val="00952473"/>
    <w:rsid w:val="0095453A"/>
    <w:rsid w:val="00956AE8"/>
    <w:rsid w:val="00956B7D"/>
    <w:rsid w:val="00956CE7"/>
    <w:rsid w:val="00960B56"/>
    <w:rsid w:val="009614BE"/>
    <w:rsid w:val="00961E14"/>
    <w:rsid w:val="009635D7"/>
    <w:rsid w:val="0096382B"/>
    <w:rsid w:val="0096395F"/>
    <w:rsid w:val="00964F72"/>
    <w:rsid w:val="009667AC"/>
    <w:rsid w:val="00966902"/>
    <w:rsid w:val="00966FB8"/>
    <w:rsid w:val="00967B92"/>
    <w:rsid w:val="00967DDD"/>
    <w:rsid w:val="00967FE0"/>
    <w:rsid w:val="0097071D"/>
    <w:rsid w:val="0097084F"/>
    <w:rsid w:val="00970AB8"/>
    <w:rsid w:val="00970C3F"/>
    <w:rsid w:val="00971129"/>
    <w:rsid w:val="0097316E"/>
    <w:rsid w:val="00973788"/>
    <w:rsid w:val="00973CA5"/>
    <w:rsid w:val="00974192"/>
    <w:rsid w:val="009746A3"/>
    <w:rsid w:val="009746AB"/>
    <w:rsid w:val="00974C6A"/>
    <w:rsid w:val="00974D1C"/>
    <w:rsid w:val="00975CFE"/>
    <w:rsid w:val="00975DDC"/>
    <w:rsid w:val="009769BD"/>
    <w:rsid w:val="00976F90"/>
    <w:rsid w:val="00977005"/>
    <w:rsid w:val="0098084A"/>
    <w:rsid w:val="00980860"/>
    <w:rsid w:val="009809D3"/>
    <w:rsid w:val="00980B7D"/>
    <w:rsid w:val="0098145B"/>
    <w:rsid w:val="00982857"/>
    <w:rsid w:val="0098420D"/>
    <w:rsid w:val="00984321"/>
    <w:rsid w:val="009843FA"/>
    <w:rsid w:val="00984463"/>
    <w:rsid w:val="00984D48"/>
    <w:rsid w:val="00984FDC"/>
    <w:rsid w:val="00985538"/>
    <w:rsid w:val="009861DD"/>
    <w:rsid w:val="0098748C"/>
    <w:rsid w:val="00987913"/>
    <w:rsid w:val="00987C9A"/>
    <w:rsid w:val="00987F44"/>
    <w:rsid w:val="00987FCC"/>
    <w:rsid w:val="00990820"/>
    <w:rsid w:val="0099099C"/>
    <w:rsid w:val="00991390"/>
    <w:rsid w:val="0099149A"/>
    <w:rsid w:val="0099164F"/>
    <w:rsid w:val="00992066"/>
    <w:rsid w:val="0099209A"/>
    <w:rsid w:val="009924D3"/>
    <w:rsid w:val="009929AB"/>
    <w:rsid w:val="00992EED"/>
    <w:rsid w:val="0099332E"/>
    <w:rsid w:val="0099333E"/>
    <w:rsid w:val="00993E89"/>
    <w:rsid w:val="009953EB"/>
    <w:rsid w:val="009954FA"/>
    <w:rsid w:val="00996E47"/>
    <w:rsid w:val="0099702D"/>
    <w:rsid w:val="009971CD"/>
    <w:rsid w:val="009A022E"/>
    <w:rsid w:val="009A0A0D"/>
    <w:rsid w:val="009A1718"/>
    <w:rsid w:val="009A1815"/>
    <w:rsid w:val="009A1F08"/>
    <w:rsid w:val="009A212E"/>
    <w:rsid w:val="009A3179"/>
    <w:rsid w:val="009A3DA4"/>
    <w:rsid w:val="009A4099"/>
    <w:rsid w:val="009A43F7"/>
    <w:rsid w:val="009A4A68"/>
    <w:rsid w:val="009A733C"/>
    <w:rsid w:val="009A7981"/>
    <w:rsid w:val="009A7A57"/>
    <w:rsid w:val="009B002C"/>
    <w:rsid w:val="009B0554"/>
    <w:rsid w:val="009B0663"/>
    <w:rsid w:val="009B07AF"/>
    <w:rsid w:val="009B08B8"/>
    <w:rsid w:val="009B1AFB"/>
    <w:rsid w:val="009B229D"/>
    <w:rsid w:val="009B2A70"/>
    <w:rsid w:val="009B4A9C"/>
    <w:rsid w:val="009B4DA9"/>
    <w:rsid w:val="009B51C3"/>
    <w:rsid w:val="009B54E6"/>
    <w:rsid w:val="009B5CC2"/>
    <w:rsid w:val="009B5CD0"/>
    <w:rsid w:val="009B7021"/>
    <w:rsid w:val="009B70AF"/>
    <w:rsid w:val="009B71C4"/>
    <w:rsid w:val="009B7771"/>
    <w:rsid w:val="009C0E45"/>
    <w:rsid w:val="009C1D01"/>
    <w:rsid w:val="009C2705"/>
    <w:rsid w:val="009C323F"/>
    <w:rsid w:val="009C452A"/>
    <w:rsid w:val="009C49D1"/>
    <w:rsid w:val="009C4C87"/>
    <w:rsid w:val="009C4CB2"/>
    <w:rsid w:val="009C4F5B"/>
    <w:rsid w:val="009C4FCF"/>
    <w:rsid w:val="009C5142"/>
    <w:rsid w:val="009C6D20"/>
    <w:rsid w:val="009C73DF"/>
    <w:rsid w:val="009C73E1"/>
    <w:rsid w:val="009C7476"/>
    <w:rsid w:val="009D0C60"/>
    <w:rsid w:val="009D195D"/>
    <w:rsid w:val="009D1B7D"/>
    <w:rsid w:val="009D26AC"/>
    <w:rsid w:val="009D2BBE"/>
    <w:rsid w:val="009D3257"/>
    <w:rsid w:val="009D32C2"/>
    <w:rsid w:val="009D45B6"/>
    <w:rsid w:val="009D5C15"/>
    <w:rsid w:val="009D5C55"/>
    <w:rsid w:val="009D714B"/>
    <w:rsid w:val="009D74AB"/>
    <w:rsid w:val="009D77E4"/>
    <w:rsid w:val="009E1AC5"/>
    <w:rsid w:val="009E2362"/>
    <w:rsid w:val="009E2584"/>
    <w:rsid w:val="009E49C7"/>
    <w:rsid w:val="009E4A4D"/>
    <w:rsid w:val="009E4CEE"/>
    <w:rsid w:val="009E506E"/>
    <w:rsid w:val="009E5305"/>
    <w:rsid w:val="009E591A"/>
    <w:rsid w:val="009E5F43"/>
    <w:rsid w:val="009E6A8F"/>
    <w:rsid w:val="009E6BD0"/>
    <w:rsid w:val="009E7732"/>
    <w:rsid w:val="009E7D7F"/>
    <w:rsid w:val="009F2618"/>
    <w:rsid w:val="009F2E52"/>
    <w:rsid w:val="009F3A4C"/>
    <w:rsid w:val="009F53B0"/>
    <w:rsid w:val="009F5ADF"/>
    <w:rsid w:val="009F764E"/>
    <w:rsid w:val="00A00003"/>
    <w:rsid w:val="00A00A2B"/>
    <w:rsid w:val="00A00F7E"/>
    <w:rsid w:val="00A01F68"/>
    <w:rsid w:val="00A020EE"/>
    <w:rsid w:val="00A031F7"/>
    <w:rsid w:val="00A0324C"/>
    <w:rsid w:val="00A03541"/>
    <w:rsid w:val="00A03B87"/>
    <w:rsid w:val="00A03E85"/>
    <w:rsid w:val="00A04C05"/>
    <w:rsid w:val="00A05B69"/>
    <w:rsid w:val="00A05CBA"/>
    <w:rsid w:val="00A066D7"/>
    <w:rsid w:val="00A07A7E"/>
    <w:rsid w:val="00A07B70"/>
    <w:rsid w:val="00A07D16"/>
    <w:rsid w:val="00A1011F"/>
    <w:rsid w:val="00A115B5"/>
    <w:rsid w:val="00A127EE"/>
    <w:rsid w:val="00A133A7"/>
    <w:rsid w:val="00A13725"/>
    <w:rsid w:val="00A13C73"/>
    <w:rsid w:val="00A1405F"/>
    <w:rsid w:val="00A142DB"/>
    <w:rsid w:val="00A142F1"/>
    <w:rsid w:val="00A14563"/>
    <w:rsid w:val="00A14B94"/>
    <w:rsid w:val="00A15529"/>
    <w:rsid w:val="00A1560F"/>
    <w:rsid w:val="00A15E7F"/>
    <w:rsid w:val="00A15F14"/>
    <w:rsid w:val="00A16334"/>
    <w:rsid w:val="00A1705B"/>
    <w:rsid w:val="00A20EB3"/>
    <w:rsid w:val="00A220FB"/>
    <w:rsid w:val="00A22436"/>
    <w:rsid w:val="00A224FF"/>
    <w:rsid w:val="00A22CC9"/>
    <w:rsid w:val="00A23074"/>
    <w:rsid w:val="00A2376E"/>
    <w:rsid w:val="00A24100"/>
    <w:rsid w:val="00A25961"/>
    <w:rsid w:val="00A26D46"/>
    <w:rsid w:val="00A27B13"/>
    <w:rsid w:val="00A31E3F"/>
    <w:rsid w:val="00A3291F"/>
    <w:rsid w:val="00A32B1B"/>
    <w:rsid w:val="00A32D60"/>
    <w:rsid w:val="00A339ED"/>
    <w:rsid w:val="00A33DBD"/>
    <w:rsid w:val="00A342E0"/>
    <w:rsid w:val="00A3522C"/>
    <w:rsid w:val="00A354C6"/>
    <w:rsid w:val="00A35CF1"/>
    <w:rsid w:val="00A36017"/>
    <w:rsid w:val="00A373D7"/>
    <w:rsid w:val="00A37CD6"/>
    <w:rsid w:val="00A40A2C"/>
    <w:rsid w:val="00A40C71"/>
    <w:rsid w:val="00A410CC"/>
    <w:rsid w:val="00A41638"/>
    <w:rsid w:val="00A4163F"/>
    <w:rsid w:val="00A421FA"/>
    <w:rsid w:val="00A42577"/>
    <w:rsid w:val="00A4469A"/>
    <w:rsid w:val="00A44768"/>
    <w:rsid w:val="00A44B6D"/>
    <w:rsid w:val="00A469DD"/>
    <w:rsid w:val="00A47673"/>
    <w:rsid w:val="00A508B2"/>
    <w:rsid w:val="00A51304"/>
    <w:rsid w:val="00A514F8"/>
    <w:rsid w:val="00A5333E"/>
    <w:rsid w:val="00A53B57"/>
    <w:rsid w:val="00A5436B"/>
    <w:rsid w:val="00A54CC3"/>
    <w:rsid w:val="00A55B63"/>
    <w:rsid w:val="00A55C8C"/>
    <w:rsid w:val="00A56DD2"/>
    <w:rsid w:val="00A607AF"/>
    <w:rsid w:val="00A61BCF"/>
    <w:rsid w:val="00A61BE1"/>
    <w:rsid w:val="00A61E51"/>
    <w:rsid w:val="00A62249"/>
    <w:rsid w:val="00A6268F"/>
    <w:rsid w:val="00A634B0"/>
    <w:rsid w:val="00A64101"/>
    <w:rsid w:val="00A644AD"/>
    <w:rsid w:val="00A648C0"/>
    <w:rsid w:val="00A65F9E"/>
    <w:rsid w:val="00A66D52"/>
    <w:rsid w:val="00A70648"/>
    <w:rsid w:val="00A708BC"/>
    <w:rsid w:val="00A71485"/>
    <w:rsid w:val="00A72A4C"/>
    <w:rsid w:val="00A74DFA"/>
    <w:rsid w:val="00A769D5"/>
    <w:rsid w:val="00A77067"/>
    <w:rsid w:val="00A81919"/>
    <w:rsid w:val="00A81AA3"/>
    <w:rsid w:val="00A81E7D"/>
    <w:rsid w:val="00A8234F"/>
    <w:rsid w:val="00A82BF7"/>
    <w:rsid w:val="00A8402B"/>
    <w:rsid w:val="00A84BAB"/>
    <w:rsid w:val="00A85927"/>
    <w:rsid w:val="00A85B19"/>
    <w:rsid w:val="00A86CD5"/>
    <w:rsid w:val="00A900DF"/>
    <w:rsid w:val="00A9043E"/>
    <w:rsid w:val="00A9147D"/>
    <w:rsid w:val="00A9228E"/>
    <w:rsid w:val="00A927F4"/>
    <w:rsid w:val="00A93B1D"/>
    <w:rsid w:val="00A945E6"/>
    <w:rsid w:val="00A94637"/>
    <w:rsid w:val="00A94A13"/>
    <w:rsid w:val="00A95664"/>
    <w:rsid w:val="00A96DC6"/>
    <w:rsid w:val="00A96EDD"/>
    <w:rsid w:val="00A97485"/>
    <w:rsid w:val="00A97C65"/>
    <w:rsid w:val="00AA16C8"/>
    <w:rsid w:val="00AA2485"/>
    <w:rsid w:val="00AA27D4"/>
    <w:rsid w:val="00AA33BE"/>
    <w:rsid w:val="00AA3904"/>
    <w:rsid w:val="00AA3B65"/>
    <w:rsid w:val="00AA4245"/>
    <w:rsid w:val="00AA4F87"/>
    <w:rsid w:val="00AA5111"/>
    <w:rsid w:val="00AA533F"/>
    <w:rsid w:val="00AA56CB"/>
    <w:rsid w:val="00AA599F"/>
    <w:rsid w:val="00AA6D3B"/>
    <w:rsid w:val="00AA7AA8"/>
    <w:rsid w:val="00AB0B96"/>
    <w:rsid w:val="00AB0C7E"/>
    <w:rsid w:val="00AB3A85"/>
    <w:rsid w:val="00AB3B8C"/>
    <w:rsid w:val="00AB50D7"/>
    <w:rsid w:val="00AB5445"/>
    <w:rsid w:val="00AB5911"/>
    <w:rsid w:val="00AB6574"/>
    <w:rsid w:val="00AB6674"/>
    <w:rsid w:val="00AB68D1"/>
    <w:rsid w:val="00AB692E"/>
    <w:rsid w:val="00AC061D"/>
    <w:rsid w:val="00AC0841"/>
    <w:rsid w:val="00AC0D07"/>
    <w:rsid w:val="00AC1A29"/>
    <w:rsid w:val="00AC1CD9"/>
    <w:rsid w:val="00AC2694"/>
    <w:rsid w:val="00AC3244"/>
    <w:rsid w:val="00AC32A6"/>
    <w:rsid w:val="00AC3ABE"/>
    <w:rsid w:val="00AC3B04"/>
    <w:rsid w:val="00AC4C40"/>
    <w:rsid w:val="00AC5587"/>
    <w:rsid w:val="00AC573F"/>
    <w:rsid w:val="00AC60A8"/>
    <w:rsid w:val="00AC663E"/>
    <w:rsid w:val="00AC692C"/>
    <w:rsid w:val="00AC6D13"/>
    <w:rsid w:val="00AC71F4"/>
    <w:rsid w:val="00AC7226"/>
    <w:rsid w:val="00AC7720"/>
    <w:rsid w:val="00AD04F1"/>
    <w:rsid w:val="00AD061F"/>
    <w:rsid w:val="00AD099D"/>
    <w:rsid w:val="00AD13F0"/>
    <w:rsid w:val="00AD2168"/>
    <w:rsid w:val="00AD264F"/>
    <w:rsid w:val="00AD2F66"/>
    <w:rsid w:val="00AD4738"/>
    <w:rsid w:val="00AD54C1"/>
    <w:rsid w:val="00AD63A0"/>
    <w:rsid w:val="00AE25D5"/>
    <w:rsid w:val="00AE2AA8"/>
    <w:rsid w:val="00AE33A6"/>
    <w:rsid w:val="00AE4639"/>
    <w:rsid w:val="00AE50C5"/>
    <w:rsid w:val="00AE6423"/>
    <w:rsid w:val="00AE6813"/>
    <w:rsid w:val="00AE6D48"/>
    <w:rsid w:val="00AE7CE5"/>
    <w:rsid w:val="00AF059E"/>
    <w:rsid w:val="00AF06E8"/>
    <w:rsid w:val="00AF119E"/>
    <w:rsid w:val="00AF1664"/>
    <w:rsid w:val="00AF22F9"/>
    <w:rsid w:val="00AF330E"/>
    <w:rsid w:val="00AF532F"/>
    <w:rsid w:val="00AF5B0B"/>
    <w:rsid w:val="00AF5C99"/>
    <w:rsid w:val="00B00062"/>
    <w:rsid w:val="00B008F1"/>
    <w:rsid w:val="00B00B64"/>
    <w:rsid w:val="00B011D5"/>
    <w:rsid w:val="00B03A29"/>
    <w:rsid w:val="00B03DC4"/>
    <w:rsid w:val="00B03E94"/>
    <w:rsid w:val="00B04658"/>
    <w:rsid w:val="00B10D24"/>
    <w:rsid w:val="00B10EB6"/>
    <w:rsid w:val="00B1159A"/>
    <w:rsid w:val="00B11657"/>
    <w:rsid w:val="00B118A7"/>
    <w:rsid w:val="00B121B1"/>
    <w:rsid w:val="00B125C6"/>
    <w:rsid w:val="00B12C95"/>
    <w:rsid w:val="00B1304E"/>
    <w:rsid w:val="00B1405E"/>
    <w:rsid w:val="00B146DF"/>
    <w:rsid w:val="00B14A35"/>
    <w:rsid w:val="00B15051"/>
    <w:rsid w:val="00B15E0F"/>
    <w:rsid w:val="00B1657E"/>
    <w:rsid w:val="00B167A4"/>
    <w:rsid w:val="00B2148E"/>
    <w:rsid w:val="00B2173F"/>
    <w:rsid w:val="00B21BDF"/>
    <w:rsid w:val="00B22203"/>
    <w:rsid w:val="00B22E5A"/>
    <w:rsid w:val="00B252C7"/>
    <w:rsid w:val="00B26045"/>
    <w:rsid w:val="00B30DAA"/>
    <w:rsid w:val="00B31539"/>
    <w:rsid w:val="00B31EC2"/>
    <w:rsid w:val="00B31F3A"/>
    <w:rsid w:val="00B32862"/>
    <w:rsid w:val="00B33246"/>
    <w:rsid w:val="00B33402"/>
    <w:rsid w:val="00B33CC3"/>
    <w:rsid w:val="00B3432B"/>
    <w:rsid w:val="00B35AC1"/>
    <w:rsid w:val="00B36667"/>
    <w:rsid w:val="00B3676A"/>
    <w:rsid w:val="00B36BCD"/>
    <w:rsid w:val="00B3723D"/>
    <w:rsid w:val="00B37A0C"/>
    <w:rsid w:val="00B40E2E"/>
    <w:rsid w:val="00B417A0"/>
    <w:rsid w:val="00B41824"/>
    <w:rsid w:val="00B42677"/>
    <w:rsid w:val="00B438A9"/>
    <w:rsid w:val="00B43B64"/>
    <w:rsid w:val="00B43D96"/>
    <w:rsid w:val="00B43DEF"/>
    <w:rsid w:val="00B44ABC"/>
    <w:rsid w:val="00B45988"/>
    <w:rsid w:val="00B46579"/>
    <w:rsid w:val="00B4751B"/>
    <w:rsid w:val="00B477DE"/>
    <w:rsid w:val="00B47F84"/>
    <w:rsid w:val="00B50904"/>
    <w:rsid w:val="00B51B25"/>
    <w:rsid w:val="00B5217A"/>
    <w:rsid w:val="00B52DDE"/>
    <w:rsid w:val="00B5318C"/>
    <w:rsid w:val="00B53D9D"/>
    <w:rsid w:val="00B540F1"/>
    <w:rsid w:val="00B54DDD"/>
    <w:rsid w:val="00B553D0"/>
    <w:rsid w:val="00B55417"/>
    <w:rsid w:val="00B555AE"/>
    <w:rsid w:val="00B55E87"/>
    <w:rsid w:val="00B564FA"/>
    <w:rsid w:val="00B5730A"/>
    <w:rsid w:val="00B57DCE"/>
    <w:rsid w:val="00B57FAE"/>
    <w:rsid w:val="00B60F86"/>
    <w:rsid w:val="00B62685"/>
    <w:rsid w:val="00B6357C"/>
    <w:rsid w:val="00B63FF0"/>
    <w:rsid w:val="00B653B8"/>
    <w:rsid w:val="00B65D29"/>
    <w:rsid w:val="00B660EE"/>
    <w:rsid w:val="00B66819"/>
    <w:rsid w:val="00B66B68"/>
    <w:rsid w:val="00B6769F"/>
    <w:rsid w:val="00B6786A"/>
    <w:rsid w:val="00B67D2D"/>
    <w:rsid w:val="00B702AA"/>
    <w:rsid w:val="00B70473"/>
    <w:rsid w:val="00B7126A"/>
    <w:rsid w:val="00B71290"/>
    <w:rsid w:val="00B72A1B"/>
    <w:rsid w:val="00B72FD7"/>
    <w:rsid w:val="00B73375"/>
    <w:rsid w:val="00B73DE7"/>
    <w:rsid w:val="00B74913"/>
    <w:rsid w:val="00B75ED0"/>
    <w:rsid w:val="00B76206"/>
    <w:rsid w:val="00B7690D"/>
    <w:rsid w:val="00B76C5E"/>
    <w:rsid w:val="00B771CE"/>
    <w:rsid w:val="00B77D87"/>
    <w:rsid w:val="00B81A4F"/>
    <w:rsid w:val="00B82827"/>
    <w:rsid w:val="00B843D2"/>
    <w:rsid w:val="00B84B74"/>
    <w:rsid w:val="00B85D83"/>
    <w:rsid w:val="00B85F76"/>
    <w:rsid w:val="00B907A7"/>
    <w:rsid w:val="00B90CA4"/>
    <w:rsid w:val="00B92398"/>
    <w:rsid w:val="00B92483"/>
    <w:rsid w:val="00B93F44"/>
    <w:rsid w:val="00B94577"/>
    <w:rsid w:val="00B95869"/>
    <w:rsid w:val="00B9658C"/>
    <w:rsid w:val="00B96E8F"/>
    <w:rsid w:val="00B97089"/>
    <w:rsid w:val="00B97A02"/>
    <w:rsid w:val="00BA00FD"/>
    <w:rsid w:val="00BA0104"/>
    <w:rsid w:val="00BA0174"/>
    <w:rsid w:val="00BA0B5B"/>
    <w:rsid w:val="00BA14EF"/>
    <w:rsid w:val="00BA2649"/>
    <w:rsid w:val="00BA460C"/>
    <w:rsid w:val="00BA6ED8"/>
    <w:rsid w:val="00BA6FCF"/>
    <w:rsid w:val="00BA77E7"/>
    <w:rsid w:val="00BA7E1F"/>
    <w:rsid w:val="00BB0D9F"/>
    <w:rsid w:val="00BB0E28"/>
    <w:rsid w:val="00BB17C6"/>
    <w:rsid w:val="00BB1FC5"/>
    <w:rsid w:val="00BB2272"/>
    <w:rsid w:val="00BB3FFC"/>
    <w:rsid w:val="00BB4092"/>
    <w:rsid w:val="00BB5A85"/>
    <w:rsid w:val="00BB5BE0"/>
    <w:rsid w:val="00BB5C4C"/>
    <w:rsid w:val="00BB5D88"/>
    <w:rsid w:val="00BB664E"/>
    <w:rsid w:val="00BB6B6A"/>
    <w:rsid w:val="00BB6C55"/>
    <w:rsid w:val="00BB7AA3"/>
    <w:rsid w:val="00BB7AFD"/>
    <w:rsid w:val="00BB7B0C"/>
    <w:rsid w:val="00BB7E98"/>
    <w:rsid w:val="00BC0A8D"/>
    <w:rsid w:val="00BC0EB1"/>
    <w:rsid w:val="00BC170A"/>
    <w:rsid w:val="00BC26FD"/>
    <w:rsid w:val="00BC28A5"/>
    <w:rsid w:val="00BC2E95"/>
    <w:rsid w:val="00BC33C4"/>
    <w:rsid w:val="00BC367A"/>
    <w:rsid w:val="00BC449A"/>
    <w:rsid w:val="00BC4D3B"/>
    <w:rsid w:val="00BC598D"/>
    <w:rsid w:val="00BC6245"/>
    <w:rsid w:val="00BC6ABC"/>
    <w:rsid w:val="00BC6C90"/>
    <w:rsid w:val="00BD0507"/>
    <w:rsid w:val="00BD1351"/>
    <w:rsid w:val="00BD17F6"/>
    <w:rsid w:val="00BD2054"/>
    <w:rsid w:val="00BD206D"/>
    <w:rsid w:val="00BD2192"/>
    <w:rsid w:val="00BD382E"/>
    <w:rsid w:val="00BD4387"/>
    <w:rsid w:val="00BD4F1E"/>
    <w:rsid w:val="00BD5D3B"/>
    <w:rsid w:val="00BD62E0"/>
    <w:rsid w:val="00BD6644"/>
    <w:rsid w:val="00BD6BF1"/>
    <w:rsid w:val="00BD7AA0"/>
    <w:rsid w:val="00BE079D"/>
    <w:rsid w:val="00BE14E9"/>
    <w:rsid w:val="00BE2249"/>
    <w:rsid w:val="00BE2762"/>
    <w:rsid w:val="00BE31F3"/>
    <w:rsid w:val="00BE3922"/>
    <w:rsid w:val="00BE3E97"/>
    <w:rsid w:val="00BE5131"/>
    <w:rsid w:val="00BE5788"/>
    <w:rsid w:val="00BE5AEA"/>
    <w:rsid w:val="00BE5CB6"/>
    <w:rsid w:val="00BE6352"/>
    <w:rsid w:val="00BE692F"/>
    <w:rsid w:val="00BE6D38"/>
    <w:rsid w:val="00BE7E83"/>
    <w:rsid w:val="00BF044E"/>
    <w:rsid w:val="00BF056F"/>
    <w:rsid w:val="00BF2098"/>
    <w:rsid w:val="00BF35DE"/>
    <w:rsid w:val="00BF5785"/>
    <w:rsid w:val="00BF5B64"/>
    <w:rsid w:val="00BF60A0"/>
    <w:rsid w:val="00BF6F7D"/>
    <w:rsid w:val="00BF7871"/>
    <w:rsid w:val="00C005F9"/>
    <w:rsid w:val="00C00602"/>
    <w:rsid w:val="00C010FB"/>
    <w:rsid w:val="00C0174A"/>
    <w:rsid w:val="00C01D6C"/>
    <w:rsid w:val="00C02232"/>
    <w:rsid w:val="00C0405C"/>
    <w:rsid w:val="00C0495E"/>
    <w:rsid w:val="00C07530"/>
    <w:rsid w:val="00C0783E"/>
    <w:rsid w:val="00C07A63"/>
    <w:rsid w:val="00C10A8E"/>
    <w:rsid w:val="00C118D7"/>
    <w:rsid w:val="00C12134"/>
    <w:rsid w:val="00C12CED"/>
    <w:rsid w:val="00C13CA0"/>
    <w:rsid w:val="00C15277"/>
    <w:rsid w:val="00C16980"/>
    <w:rsid w:val="00C20DCD"/>
    <w:rsid w:val="00C21642"/>
    <w:rsid w:val="00C21A09"/>
    <w:rsid w:val="00C224A7"/>
    <w:rsid w:val="00C2429D"/>
    <w:rsid w:val="00C24DCA"/>
    <w:rsid w:val="00C25BF4"/>
    <w:rsid w:val="00C26D1B"/>
    <w:rsid w:val="00C2759B"/>
    <w:rsid w:val="00C27C6B"/>
    <w:rsid w:val="00C27E20"/>
    <w:rsid w:val="00C30C7C"/>
    <w:rsid w:val="00C312E0"/>
    <w:rsid w:val="00C320E6"/>
    <w:rsid w:val="00C32638"/>
    <w:rsid w:val="00C32C35"/>
    <w:rsid w:val="00C32EA2"/>
    <w:rsid w:val="00C331B7"/>
    <w:rsid w:val="00C3467B"/>
    <w:rsid w:val="00C3548B"/>
    <w:rsid w:val="00C357B1"/>
    <w:rsid w:val="00C3676A"/>
    <w:rsid w:val="00C36DC8"/>
    <w:rsid w:val="00C377BE"/>
    <w:rsid w:val="00C37C85"/>
    <w:rsid w:val="00C40E1A"/>
    <w:rsid w:val="00C41A9F"/>
    <w:rsid w:val="00C423C8"/>
    <w:rsid w:val="00C42D90"/>
    <w:rsid w:val="00C44786"/>
    <w:rsid w:val="00C447E2"/>
    <w:rsid w:val="00C44A7A"/>
    <w:rsid w:val="00C44A7F"/>
    <w:rsid w:val="00C44E8C"/>
    <w:rsid w:val="00C45131"/>
    <w:rsid w:val="00C4555E"/>
    <w:rsid w:val="00C464F3"/>
    <w:rsid w:val="00C47826"/>
    <w:rsid w:val="00C479D6"/>
    <w:rsid w:val="00C47EE7"/>
    <w:rsid w:val="00C505C5"/>
    <w:rsid w:val="00C5063A"/>
    <w:rsid w:val="00C51287"/>
    <w:rsid w:val="00C512A1"/>
    <w:rsid w:val="00C5165B"/>
    <w:rsid w:val="00C51670"/>
    <w:rsid w:val="00C524CD"/>
    <w:rsid w:val="00C52781"/>
    <w:rsid w:val="00C52F42"/>
    <w:rsid w:val="00C535FC"/>
    <w:rsid w:val="00C54602"/>
    <w:rsid w:val="00C54B0A"/>
    <w:rsid w:val="00C553BC"/>
    <w:rsid w:val="00C555E0"/>
    <w:rsid w:val="00C55CF3"/>
    <w:rsid w:val="00C56FA5"/>
    <w:rsid w:val="00C5724B"/>
    <w:rsid w:val="00C57708"/>
    <w:rsid w:val="00C57BEC"/>
    <w:rsid w:val="00C61412"/>
    <w:rsid w:val="00C61D65"/>
    <w:rsid w:val="00C61FB2"/>
    <w:rsid w:val="00C63A02"/>
    <w:rsid w:val="00C64405"/>
    <w:rsid w:val="00C6471B"/>
    <w:rsid w:val="00C64993"/>
    <w:rsid w:val="00C64F96"/>
    <w:rsid w:val="00C66438"/>
    <w:rsid w:val="00C6659C"/>
    <w:rsid w:val="00C66671"/>
    <w:rsid w:val="00C66E89"/>
    <w:rsid w:val="00C672F8"/>
    <w:rsid w:val="00C708C5"/>
    <w:rsid w:val="00C70A40"/>
    <w:rsid w:val="00C71408"/>
    <w:rsid w:val="00C71509"/>
    <w:rsid w:val="00C71A7B"/>
    <w:rsid w:val="00C72C9E"/>
    <w:rsid w:val="00C74358"/>
    <w:rsid w:val="00C756CA"/>
    <w:rsid w:val="00C759AB"/>
    <w:rsid w:val="00C7696D"/>
    <w:rsid w:val="00C76BBA"/>
    <w:rsid w:val="00C77EA6"/>
    <w:rsid w:val="00C80057"/>
    <w:rsid w:val="00C81762"/>
    <w:rsid w:val="00C81BD3"/>
    <w:rsid w:val="00C824B8"/>
    <w:rsid w:val="00C82860"/>
    <w:rsid w:val="00C82A50"/>
    <w:rsid w:val="00C83583"/>
    <w:rsid w:val="00C83A8E"/>
    <w:rsid w:val="00C84104"/>
    <w:rsid w:val="00C84C2C"/>
    <w:rsid w:val="00C84E3B"/>
    <w:rsid w:val="00C85E13"/>
    <w:rsid w:val="00C8605A"/>
    <w:rsid w:val="00C866F3"/>
    <w:rsid w:val="00C8671B"/>
    <w:rsid w:val="00C86755"/>
    <w:rsid w:val="00C86E4D"/>
    <w:rsid w:val="00C87998"/>
    <w:rsid w:val="00C87D5C"/>
    <w:rsid w:val="00C87F1C"/>
    <w:rsid w:val="00C87FE2"/>
    <w:rsid w:val="00C9037B"/>
    <w:rsid w:val="00C903CC"/>
    <w:rsid w:val="00C908B1"/>
    <w:rsid w:val="00C91CBC"/>
    <w:rsid w:val="00C93BE8"/>
    <w:rsid w:val="00C949D5"/>
    <w:rsid w:val="00C95649"/>
    <w:rsid w:val="00C95E6D"/>
    <w:rsid w:val="00C95F02"/>
    <w:rsid w:val="00C9623B"/>
    <w:rsid w:val="00C96431"/>
    <w:rsid w:val="00C96536"/>
    <w:rsid w:val="00C96F88"/>
    <w:rsid w:val="00C97E73"/>
    <w:rsid w:val="00C97EE4"/>
    <w:rsid w:val="00CA0C2A"/>
    <w:rsid w:val="00CA0F9E"/>
    <w:rsid w:val="00CA1189"/>
    <w:rsid w:val="00CA1780"/>
    <w:rsid w:val="00CA1D55"/>
    <w:rsid w:val="00CA1ECC"/>
    <w:rsid w:val="00CA20C8"/>
    <w:rsid w:val="00CA30D8"/>
    <w:rsid w:val="00CA36BD"/>
    <w:rsid w:val="00CA3D0E"/>
    <w:rsid w:val="00CA4A88"/>
    <w:rsid w:val="00CA50A1"/>
    <w:rsid w:val="00CA5499"/>
    <w:rsid w:val="00CA5A93"/>
    <w:rsid w:val="00CA5F39"/>
    <w:rsid w:val="00CA776B"/>
    <w:rsid w:val="00CA7C72"/>
    <w:rsid w:val="00CA7E0C"/>
    <w:rsid w:val="00CB19D7"/>
    <w:rsid w:val="00CB2444"/>
    <w:rsid w:val="00CB2DC9"/>
    <w:rsid w:val="00CB3D03"/>
    <w:rsid w:val="00CB3D62"/>
    <w:rsid w:val="00CB417B"/>
    <w:rsid w:val="00CB44DB"/>
    <w:rsid w:val="00CB493D"/>
    <w:rsid w:val="00CB49E6"/>
    <w:rsid w:val="00CB5C9D"/>
    <w:rsid w:val="00CB7DD3"/>
    <w:rsid w:val="00CC0208"/>
    <w:rsid w:val="00CC03EA"/>
    <w:rsid w:val="00CC05AA"/>
    <w:rsid w:val="00CC0879"/>
    <w:rsid w:val="00CC0A6C"/>
    <w:rsid w:val="00CC0F32"/>
    <w:rsid w:val="00CC1ECF"/>
    <w:rsid w:val="00CC25CB"/>
    <w:rsid w:val="00CC3932"/>
    <w:rsid w:val="00CC4322"/>
    <w:rsid w:val="00CC508B"/>
    <w:rsid w:val="00CC530D"/>
    <w:rsid w:val="00CC5888"/>
    <w:rsid w:val="00CC5EAB"/>
    <w:rsid w:val="00CC671E"/>
    <w:rsid w:val="00CC7063"/>
    <w:rsid w:val="00CC7E48"/>
    <w:rsid w:val="00CD05FC"/>
    <w:rsid w:val="00CD0A6C"/>
    <w:rsid w:val="00CD0DE5"/>
    <w:rsid w:val="00CD0E53"/>
    <w:rsid w:val="00CD0FB4"/>
    <w:rsid w:val="00CD1CDA"/>
    <w:rsid w:val="00CD22B2"/>
    <w:rsid w:val="00CD37F2"/>
    <w:rsid w:val="00CD3BDF"/>
    <w:rsid w:val="00CD3E9C"/>
    <w:rsid w:val="00CD4AA1"/>
    <w:rsid w:val="00CD4DD0"/>
    <w:rsid w:val="00CD4FE7"/>
    <w:rsid w:val="00CD66B1"/>
    <w:rsid w:val="00CD70E7"/>
    <w:rsid w:val="00CE0FC0"/>
    <w:rsid w:val="00CE2007"/>
    <w:rsid w:val="00CE2CCE"/>
    <w:rsid w:val="00CE318C"/>
    <w:rsid w:val="00CE3235"/>
    <w:rsid w:val="00CE32DE"/>
    <w:rsid w:val="00CE43CA"/>
    <w:rsid w:val="00CE4404"/>
    <w:rsid w:val="00CE4A0C"/>
    <w:rsid w:val="00CE532C"/>
    <w:rsid w:val="00CE532D"/>
    <w:rsid w:val="00CE5C6A"/>
    <w:rsid w:val="00CE5E08"/>
    <w:rsid w:val="00CE61C2"/>
    <w:rsid w:val="00CE624A"/>
    <w:rsid w:val="00CE6646"/>
    <w:rsid w:val="00CE6761"/>
    <w:rsid w:val="00CE7526"/>
    <w:rsid w:val="00CF0A06"/>
    <w:rsid w:val="00CF1279"/>
    <w:rsid w:val="00CF1794"/>
    <w:rsid w:val="00CF17ED"/>
    <w:rsid w:val="00CF1D44"/>
    <w:rsid w:val="00CF23D3"/>
    <w:rsid w:val="00CF2E3A"/>
    <w:rsid w:val="00CF3211"/>
    <w:rsid w:val="00CF38ED"/>
    <w:rsid w:val="00CF60EB"/>
    <w:rsid w:val="00CF6CA9"/>
    <w:rsid w:val="00CF7BED"/>
    <w:rsid w:val="00CF7F17"/>
    <w:rsid w:val="00D001D9"/>
    <w:rsid w:val="00D0139B"/>
    <w:rsid w:val="00D0148B"/>
    <w:rsid w:val="00D02789"/>
    <w:rsid w:val="00D02A8A"/>
    <w:rsid w:val="00D02CA3"/>
    <w:rsid w:val="00D0314B"/>
    <w:rsid w:val="00D039B4"/>
    <w:rsid w:val="00D03E19"/>
    <w:rsid w:val="00D043F0"/>
    <w:rsid w:val="00D04C29"/>
    <w:rsid w:val="00D05BAF"/>
    <w:rsid w:val="00D0620D"/>
    <w:rsid w:val="00D06298"/>
    <w:rsid w:val="00D07A98"/>
    <w:rsid w:val="00D1051E"/>
    <w:rsid w:val="00D10E5D"/>
    <w:rsid w:val="00D111E8"/>
    <w:rsid w:val="00D126F7"/>
    <w:rsid w:val="00D13F0B"/>
    <w:rsid w:val="00D1421C"/>
    <w:rsid w:val="00D14E45"/>
    <w:rsid w:val="00D15254"/>
    <w:rsid w:val="00D15898"/>
    <w:rsid w:val="00D15C2C"/>
    <w:rsid w:val="00D17717"/>
    <w:rsid w:val="00D178A2"/>
    <w:rsid w:val="00D17A6D"/>
    <w:rsid w:val="00D17C1E"/>
    <w:rsid w:val="00D206FB"/>
    <w:rsid w:val="00D225C6"/>
    <w:rsid w:val="00D2535E"/>
    <w:rsid w:val="00D2539B"/>
    <w:rsid w:val="00D26D61"/>
    <w:rsid w:val="00D30D9D"/>
    <w:rsid w:val="00D31A41"/>
    <w:rsid w:val="00D33D57"/>
    <w:rsid w:val="00D345FE"/>
    <w:rsid w:val="00D34894"/>
    <w:rsid w:val="00D3562B"/>
    <w:rsid w:val="00D36710"/>
    <w:rsid w:val="00D378E5"/>
    <w:rsid w:val="00D405DE"/>
    <w:rsid w:val="00D409C8"/>
    <w:rsid w:val="00D40BA8"/>
    <w:rsid w:val="00D424F3"/>
    <w:rsid w:val="00D4255E"/>
    <w:rsid w:val="00D42910"/>
    <w:rsid w:val="00D432A4"/>
    <w:rsid w:val="00D44B83"/>
    <w:rsid w:val="00D44CF5"/>
    <w:rsid w:val="00D4523A"/>
    <w:rsid w:val="00D452A9"/>
    <w:rsid w:val="00D4605B"/>
    <w:rsid w:val="00D468C7"/>
    <w:rsid w:val="00D516AE"/>
    <w:rsid w:val="00D51CA3"/>
    <w:rsid w:val="00D53C27"/>
    <w:rsid w:val="00D54213"/>
    <w:rsid w:val="00D55D92"/>
    <w:rsid w:val="00D55E6C"/>
    <w:rsid w:val="00D56EC3"/>
    <w:rsid w:val="00D600A3"/>
    <w:rsid w:val="00D601AC"/>
    <w:rsid w:val="00D60E00"/>
    <w:rsid w:val="00D61EA8"/>
    <w:rsid w:val="00D62283"/>
    <w:rsid w:val="00D624D4"/>
    <w:rsid w:val="00D62B83"/>
    <w:rsid w:val="00D6304D"/>
    <w:rsid w:val="00D6322B"/>
    <w:rsid w:val="00D63482"/>
    <w:rsid w:val="00D63A0B"/>
    <w:rsid w:val="00D63B6C"/>
    <w:rsid w:val="00D63C17"/>
    <w:rsid w:val="00D63D9C"/>
    <w:rsid w:val="00D64827"/>
    <w:rsid w:val="00D6488B"/>
    <w:rsid w:val="00D65590"/>
    <w:rsid w:val="00D65A65"/>
    <w:rsid w:val="00D65FFA"/>
    <w:rsid w:val="00D66081"/>
    <w:rsid w:val="00D6735D"/>
    <w:rsid w:val="00D701BF"/>
    <w:rsid w:val="00D70363"/>
    <w:rsid w:val="00D706B4"/>
    <w:rsid w:val="00D712F1"/>
    <w:rsid w:val="00D717FD"/>
    <w:rsid w:val="00D71C55"/>
    <w:rsid w:val="00D72008"/>
    <w:rsid w:val="00D720A9"/>
    <w:rsid w:val="00D7228C"/>
    <w:rsid w:val="00D72543"/>
    <w:rsid w:val="00D72E2C"/>
    <w:rsid w:val="00D73159"/>
    <w:rsid w:val="00D732FA"/>
    <w:rsid w:val="00D73E36"/>
    <w:rsid w:val="00D73F13"/>
    <w:rsid w:val="00D73FA4"/>
    <w:rsid w:val="00D7492B"/>
    <w:rsid w:val="00D7702F"/>
    <w:rsid w:val="00D776B6"/>
    <w:rsid w:val="00D77CC4"/>
    <w:rsid w:val="00D80703"/>
    <w:rsid w:val="00D808F5"/>
    <w:rsid w:val="00D80FE2"/>
    <w:rsid w:val="00D810B7"/>
    <w:rsid w:val="00D8164F"/>
    <w:rsid w:val="00D823E8"/>
    <w:rsid w:val="00D834EB"/>
    <w:rsid w:val="00D83BB1"/>
    <w:rsid w:val="00D85332"/>
    <w:rsid w:val="00D859A2"/>
    <w:rsid w:val="00D86620"/>
    <w:rsid w:val="00D8698F"/>
    <w:rsid w:val="00D86A68"/>
    <w:rsid w:val="00D87138"/>
    <w:rsid w:val="00D87360"/>
    <w:rsid w:val="00D87C07"/>
    <w:rsid w:val="00D901C3"/>
    <w:rsid w:val="00D9061C"/>
    <w:rsid w:val="00D90982"/>
    <w:rsid w:val="00D90B8D"/>
    <w:rsid w:val="00D90EF1"/>
    <w:rsid w:val="00D91824"/>
    <w:rsid w:val="00D93AAE"/>
    <w:rsid w:val="00D94098"/>
    <w:rsid w:val="00D9491B"/>
    <w:rsid w:val="00D94B19"/>
    <w:rsid w:val="00D9503B"/>
    <w:rsid w:val="00D95D3E"/>
    <w:rsid w:val="00D95F56"/>
    <w:rsid w:val="00D95F63"/>
    <w:rsid w:val="00D963CA"/>
    <w:rsid w:val="00D96501"/>
    <w:rsid w:val="00D96733"/>
    <w:rsid w:val="00D968D9"/>
    <w:rsid w:val="00D96ECF"/>
    <w:rsid w:val="00D97CB0"/>
    <w:rsid w:val="00D97DBF"/>
    <w:rsid w:val="00D97F85"/>
    <w:rsid w:val="00DA1980"/>
    <w:rsid w:val="00DA2191"/>
    <w:rsid w:val="00DA279C"/>
    <w:rsid w:val="00DA33BC"/>
    <w:rsid w:val="00DA3C64"/>
    <w:rsid w:val="00DA45A4"/>
    <w:rsid w:val="00DA494E"/>
    <w:rsid w:val="00DA4C44"/>
    <w:rsid w:val="00DA5558"/>
    <w:rsid w:val="00DA630F"/>
    <w:rsid w:val="00DA6821"/>
    <w:rsid w:val="00DA70BA"/>
    <w:rsid w:val="00DA774C"/>
    <w:rsid w:val="00DA7F4F"/>
    <w:rsid w:val="00DB08B8"/>
    <w:rsid w:val="00DB12A5"/>
    <w:rsid w:val="00DB1686"/>
    <w:rsid w:val="00DB1B9E"/>
    <w:rsid w:val="00DB308D"/>
    <w:rsid w:val="00DB3D6F"/>
    <w:rsid w:val="00DB3EF2"/>
    <w:rsid w:val="00DB48DF"/>
    <w:rsid w:val="00DB4F2B"/>
    <w:rsid w:val="00DB4F6C"/>
    <w:rsid w:val="00DB62D4"/>
    <w:rsid w:val="00DB68AE"/>
    <w:rsid w:val="00DB6D71"/>
    <w:rsid w:val="00DB6E6F"/>
    <w:rsid w:val="00DC0C00"/>
    <w:rsid w:val="00DC1536"/>
    <w:rsid w:val="00DC2FA9"/>
    <w:rsid w:val="00DC4511"/>
    <w:rsid w:val="00DC65AA"/>
    <w:rsid w:val="00DC72F6"/>
    <w:rsid w:val="00DC74C6"/>
    <w:rsid w:val="00DC7541"/>
    <w:rsid w:val="00DC7A04"/>
    <w:rsid w:val="00DC7B49"/>
    <w:rsid w:val="00DC7CB0"/>
    <w:rsid w:val="00DD015B"/>
    <w:rsid w:val="00DD03BC"/>
    <w:rsid w:val="00DD0E77"/>
    <w:rsid w:val="00DD149A"/>
    <w:rsid w:val="00DD1573"/>
    <w:rsid w:val="00DD1619"/>
    <w:rsid w:val="00DD1E6E"/>
    <w:rsid w:val="00DD22CC"/>
    <w:rsid w:val="00DD22D5"/>
    <w:rsid w:val="00DD28C5"/>
    <w:rsid w:val="00DD3ADA"/>
    <w:rsid w:val="00DD43E8"/>
    <w:rsid w:val="00DD47C8"/>
    <w:rsid w:val="00DD493D"/>
    <w:rsid w:val="00DD508F"/>
    <w:rsid w:val="00DD5B57"/>
    <w:rsid w:val="00DD7121"/>
    <w:rsid w:val="00DD712D"/>
    <w:rsid w:val="00DD728A"/>
    <w:rsid w:val="00DD7CA9"/>
    <w:rsid w:val="00DE1220"/>
    <w:rsid w:val="00DE233F"/>
    <w:rsid w:val="00DE3A59"/>
    <w:rsid w:val="00DE455B"/>
    <w:rsid w:val="00DE5979"/>
    <w:rsid w:val="00DE59DF"/>
    <w:rsid w:val="00DE5E84"/>
    <w:rsid w:val="00DE6711"/>
    <w:rsid w:val="00DE706E"/>
    <w:rsid w:val="00DE76AF"/>
    <w:rsid w:val="00DE79E7"/>
    <w:rsid w:val="00DF0D61"/>
    <w:rsid w:val="00DF1713"/>
    <w:rsid w:val="00DF2BD2"/>
    <w:rsid w:val="00DF3B40"/>
    <w:rsid w:val="00DF3C15"/>
    <w:rsid w:val="00DF4274"/>
    <w:rsid w:val="00DF42BC"/>
    <w:rsid w:val="00DF515B"/>
    <w:rsid w:val="00DF6237"/>
    <w:rsid w:val="00DF6A9F"/>
    <w:rsid w:val="00DF7653"/>
    <w:rsid w:val="00DF77E9"/>
    <w:rsid w:val="00DF79FC"/>
    <w:rsid w:val="00E00A75"/>
    <w:rsid w:val="00E00B2D"/>
    <w:rsid w:val="00E0114B"/>
    <w:rsid w:val="00E01A54"/>
    <w:rsid w:val="00E02B99"/>
    <w:rsid w:val="00E03732"/>
    <w:rsid w:val="00E03CD9"/>
    <w:rsid w:val="00E03DE0"/>
    <w:rsid w:val="00E04D64"/>
    <w:rsid w:val="00E05C2E"/>
    <w:rsid w:val="00E06C64"/>
    <w:rsid w:val="00E07AC9"/>
    <w:rsid w:val="00E10888"/>
    <w:rsid w:val="00E10C6A"/>
    <w:rsid w:val="00E11EE8"/>
    <w:rsid w:val="00E13EC1"/>
    <w:rsid w:val="00E14813"/>
    <w:rsid w:val="00E15310"/>
    <w:rsid w:val="00E1581E"/>
    <w:rsid w:val="00E15A5F"/>
    <w:rsid w:val="00E160CD"/>
    <w:rsid w:val="00E16297"/>
    <w:rsid w:val="00E165B9"/>
    <w:rsid w:val="00E20BC4"/>
    <w:rsid w:val="00E21628"/>
    <w:rsid w:val="00E21C48"/>
    <w:rsid w:val="00E2381C"/>
    <w:rsid w:val="00E2440C"/>
    <w:rsid w:val="00E24465"/>
    <w:rsid w:val="00E24B76"/>
    <w:rsid w:val="00E25211"/>
    <w:rsid w:val="00E25D10"/>
    <w:rsid w:val="00E262AB"/>
    <w:rsid w:val="00E2633A"/>
    <w:rsid w:val="00E27962"/>
    <w:rsid w:val="00E301C7"/>
    <w:rsid w:val="00E301D7"/>
    <w:rsid w:val="00E308FD"/>
    <w:rsid w:val="00E30AAA"/>
    <w:rsid w:val="00E325BE"/>
    <w:rsid w:val="00E32A84"/>
    <w:rsid w:val="00E3323B"/>
    <w:rsid w:val="00E33296"/>
    <w:rsid w:val="00E334C6"/>
    <w:rsid w:val="00E3422A"/>
    <w:rsid w:val="00E3584E"/>
    <w:rsid w:val="00E35EDF"/>
    <w:rsid w:val="00E3669A"/>
    <w:rsid w:val="00E36D7F"/>
    <w:rsid w:val="00E401B5"/>
    <w:rsid w:val="00E4088E"/>
    <w:rsid w:val="00E415CF"/>
    <w:rsid w:val="00E415F8"/>
    <w:rsid w:val="00E418A4"/>
    <w:rsid w:val="00E420C9"/>
    <w:rsid w:val="00E423C7"/>
    <w:rsid w:val="00E428EE"/>
    <w:rsid w:val="00E446EB"/>
    <w:rsid w:val="00E452CA"/>
    <w:rsid w:val="00E458FF"/>
    <w:rsid w:val="00E4672D"/>
    <w:rsid w:val="00E47C26"/>
    <w:rsid w:val="00E507E9"/>
    <w:rsid w:val="00E50F3E"/>
    <w:rsid w:val="00E50F82"/>
    <w:rsid w:val="00E5124E"/>
    <w:rsid w:val="00E51EEA"/>
    <w:rsid w:val="00E521B7"/>
    <w:rsid w:val="00E53117"/>
    <w:rsid w:val="00E553A9"/>
    <w:rsid w:val="00E561EA"/>
    <w:rsid w:val="00E56EB6"/>
    <w:rsid w:val="00E60196"/>
    <w:rsid w:val="00E60C83"/>
    <w:rsid w:val="00E60D7F"/>
    <w:rsid w:val="00E616AA"/>
    <w:rsid w:val="00E6177F"/>
    <w:rsid w:val="00E61DF0"/>
    <w:rsid w:val="00E62646"/>
    <w:rsid w:val="00E626C6"/>
    <w:rsid w:val="00E629C5"/>
    <w:rsid w:val="00E62AE9"/>
    <w:rsid w:val="00E640C6"/>
    <w:rsid w:val="00E641CB"/>
    <w:rsid w:val="00E64491"/>
    <w:rsid w:val="00E665D6"/>
    <w:rsid w:val="00E67357"/>
    <w:rsid w:val="00E67636"/>
    <w:rsid w:val="00E67908"/>
    <w:rsid w:val="00E7019F"/>
    <w:rsid w:val="00E70C37"/>
    <w:rsid w:val="00E70C64"/>
    <w:rsid w:val="00E70D04"/>
    <w:rsid w:val="00E719C1"/>
    <w:rsid w:val="00E72259"/>
    <w:rsid w:val="00E72EA0"/>
    <w:rsid w:val="00E7302C"/>
    <w:rsid w:val="00E73266"/>
    <w:rsid w:val="00E7384A"/>
    <w:rsid w:val="00E73C0D"/>
    <w:rsid w:val="00E746F8"/>
    <w:rsid w:val="00E75455"/>
    <w:rsid w:val="00E75D45"/>
    <w:rsid w:val="00E760BE"/>
    <w:rsid w:val="00E770F0"/>
    <w:rsid w:val="00E77A30"/>
    <w:rsid w:val="00E77CCB"/>
    <w:rsid w:val="00E80262"/>
    <w:rsid w:val="00E810AB"/>
    <w:rsid w:val="00E816A3"/>
    <w:rsid w:val="00E81B72"/>
    <w:rsid w:val="00E81BF6"/>
    <w:rsid w:val="00E84B76"/>
    <w:rsid w:val="00E84D66"/>
    <w:rsid w:val="00E85256"/>
    <w:rsid w:val="00E86FBA"/>
    <w:rsid w:val="00E877CD"/>
    <w:rsid w:val="00E9092C"/>
    <w:rsid w:val="00E90B9D"/>
    <w:rsid w:val="00E90F47"/>
    <w:rsid w:val="00E9165B"/>
    <w:rsid w:val="00E91AC9"/>
    <w:rsid w:val="00E923BB"/>
    <w:rsid w:val="00E924CD"/>
    <w:rsid w:val="00E928A4"/>
    <w:rsid w:val="00E92B58"/>
    <w:rsid w:val="00E932DE"/>
    <w:rsid w:val="00E93481"/>
    <w:rsid w:val="00E9373F"/>
    <w:rsid w:val="00E94206"/>
    <w:rsid w:val="00E94865"/>
    <w:rsid w:val="00E952D7"/>
    <w:rsid w:val="00E9555B"/>
    <w:rsid w:val="00E95CF3"/>
    <w:rsid w:val="00E962BE"/>
    <w:rsid w:val="00E962DF"/>
    <w:rsid w:val="00E9665F"/>
    <w:rsid w:val="00E96ACF"/>
    <w:rsid w:val="00E96C1A"/>
    <w:rsid w:val="00E97681"/>
    <w:rsid w:val="00E97778"/>
    <w:rsid w:val="00E97C7B"/>
    <w:rsid w:val="00E97D5C"/>
    <w:rsid w:val="00EA0665"/>
    <w:rsid w:val="00EA0822"/>
    <w:rsid w:val="00EA09BA"/>
    <w:rsid w:val="00EA0BE9"/>
    <w:rsid w:val="00EA14DA"/>
    <w:rsid w:val="00EA1615"/>
    <w:rsid w:val="00EA20C3"/>
    <w:rsid w:val="00EA2B31"/>
    <w:rsid w:val="00EA2D90"/>
    <w:rsid w:val="00EA345B"/>
    <w:rsid w:val="00EA360E"/>
    <w:rsid w:val="00EA3FE6"/>
    <w:rsid w:val="00EA45E0"/>
    <w:rsid w:val="00EA4C2A"/>
    <w:rsid w:val="00EA5F1D"/>
    <w:rsid w:val="00EA6923"/>
    <w:rsid w:val="00EA6978"/>
    <w:rsid w:val="00EA737A"/>
    <w:rsid w:val="00EA7A8C"/>
    <w:rsid w:val="00EB046D"/>
    <w:rsid w:val="00EB0E86"/>
    <w:rsid w:val="00EB2D21"/>
    <w:rsid w:val="00EB2EF3"/>
    <w:rsid w:val="00EB31A5"/>
    <w:rsid w:val="00EB484F"/>
    <w:rsid w:val="00EB55F4"/>
    <w:rsid w:val="00EB5722"/>
    <w:rsid w:val="00EB5F02"/>
    <w:rsid w:val="00EB6E2A"/>
    <w:rsid w:val="00EB6F67"/>
    <w:rsid w:val="00EB7427"/>
    <w:rsid w:val="00EC0949"/>
    <w:rsid w:val="00EC0E40"/>
    <w:rsid w:val="00EC166C"/>
    <w:rsid w:val="00EC215B"/>
    <w:rsid w:val="00EC2FA1"/>
    <w:rsid w:val="00EC3492"/>
    <w:rsid w:val="00EC4297"/>
    <w:rsid w:val="00EC5603"/>
    <w:rsid w:val="00EC5FE5"/>
    <w:rsid w:val="00ED0805"/>
    <w:rsid w:val="00ED0C2E"/>
    <w:rsid w:val="00ED16C1"/>
    <w:rsid w:val="00ED1E83"/>
    <w:rsid w:val="00ED35CB"/>
    <w:rsid w:val="00ED4DF8"/>
    <w:rsid w:val="00ED794A"/>
    <w:rsid w:val="00EE1B71"/>
    <w:rsid w:val="00EE2CE4"/>
    <w:rsid w:val="00EE2D15"/>
    <w:rsid w:val="00EE48EC"/>
    <w:rsid w:val="00EE497D"/>
    <w:rsid w:val="00EE4B45"/>
    <w:rsid w:val="00EE672B"/>
    <w:rsid w:val="00EE72FB"/>
    <w:rsid w:val="00EE7306"/>
    <w:rsid w:val="00EE76D5"/>
    <w:rsid w:val="00EF08F5"/>
    <w:rsid w:val="00EF0E0F"/>
    <w:rsid w:val="00EF13B2"/>
    <w:rsid w:val="00EF1644"/>
    <w:rsid w:val="00EF17FC"/>
    <w:rsid w:val="00EF24CF"/>
    <w:rsid w:val="00EF2D0C"/>
    <w:rsid w:val="00EF34F3"/>
    <w:rsid w:val="00EF370F"/>
    <w:rsid w:val="00EF3849"/>
    <w:rsid w:val="00EF4C8A"/>
    <w:rsid w:val="00EF5073"/>
    <w:rsid w:val="00EF55C5"/>
    <w:rsid w:val="00EF5819"/>
    <w:rsid w:val="00EF62A3"/>
    <w:rsid w:val="00EF6D13"/>
    <w:rsid w:val="00EF6F48"/>
    <w:rsid w:val="00EF71DC"/>
    <w:rsid w:val="00EF7202"/>
    <w:rsid w:val="00EF72A1"/>
    <w:rsid w:val="00EF7B6C"/>
    <w:rsid w:val="00F005CC"/>
    <w:rsid w:val="00F012DA"/>
    <w:rsid w:val="00F01795"/>
    <w:rsid w:val="00F021F6"/>
    <w:rsid w:val="00F0323D"/>
    <w:rsid w:val="00F03964"/>
    <w:rsid w:val="00F044AB"/>
    <w:rsid w:val="00F04B30"/>
    <w:rsid w:val="00F05022"/>
    <w:rsid w:val="00F052BA"/>
    <w:rsid w:val="00F0536B"/>
    <w:rsid w:val="00F06168"/>
    <w:rsid w:val="00F06240"/>
    <w:rsid w:val="00F0750A"/>
    <w:rsid w:val="00F1070A"/>
    <w:rsid w:val="00F1160C"/>
    <w:rsid w:val="00F11EBF"/>
    <w:rsid w:val="00F11EE4"/>
    <w:rsid w:val="00F12E54"/>
    <w:rsid w:val="00F1366B"/>
    <w:rsid w:val="00F13CA3"/>
    <w:rsid w:val="00F15AD8"/>
    <w:rsid w:val="00F164E7"/>
    <w:rsid w:val="00F16712"/>
    <w:rsid w:val="00F17FE5"/>
    <w:rsid w:val="00F20170"/>
    <w:rsid w:val="00F20D5F"/>
    <w:rsid w:val="00F215BF"/>
    <w:rsid w:val="00F21838"/>
    <w:rsid w:val="00F22164"/>
    <w:rsid w:val="00F22FD8"/>
    <w:rsid w:val="00F23483"/>
    <w:rsid w:val="00F239C6"/>
    <w:rsid w:val="00F240E3"/>
    <w:rsid w:val="00F243B6"/>
    <w:rsid w:val="00F25707"/>
    <w:rsid w:val="00F2579F"/>
    <w:rsid w:val="00F2599D"/>
    <w:rsid w:val="00F25AA4"/>
    <w:rsid w:val="00F25C1F"/>
    <w:rsid w:val="00F26241"/>
    <w:rsid w:val="00F27530"/>
    <w:rsid w:val="00F27AC8"/>
    <w:rsid w:val="00F27CA0"/>
    <w:rsid w:val="00F27F3B"/>
    <w:rsid w:val="00F3017C"/>
    <w:rsid w:val="00F30B18"/>
    <w:rsid w:val="00F311E9"/>
    <w:rsid w:val="00F323A6"/>
    <w:rsid w:val="00F32C00"/>
    <w:rsid w:val="00F33353"/>
    <w:rsid w:val="00F34196"/>
    <w:rsid w:val="00F34200"/>
    <w:rsid w:val="00F35B5F"/>
    <w:rsid w:val="00F35DAF"/>
    <w:rsid w:val="00F35F3A"/>
    <w:rsid w:val="00F3601C"/>
    <w:rsid w:val="00F360C1"/>
    <w:rsid w:val="00F3621E"/>
    <w:rsid w:val="00F36933"/>
    <w:rsid w:val="00F37FC3"/>
    <w:rsid w:val="00F41036"/>
    <w:rsid w:val="00F4265D"/>
    <w:rsid w:val="00F42AD7"/>
    <w:rsid w:val="00F44861"/>
    <w:rsid w:val="00F44B5C"/>
    <w:rsid w:val="00F45735"/>
    <w:rsid w:val="00F45A25"/>
    <w:rsid w:val="00F45C48"/>
    <w:rsid w:val="00F46E90"/>
    <w:rsid w:val="00F5052D"/>
    <w:rsid w:val="00F50724"/>
    <w:rsid w:val="00F51032"/>
    <w:rsid w:val="00F51F61"/>
    <w:rsid w:val="00F533FB"/>
    <w:rsid w:val="00F55181"/>
    <w:rsid w:val="00F554CC"/>
    <w:rsid w:val="00F5565B"/>
    <w:rsid w:val="00F56AB3"/>
    <w:rsid w:val="00F56E68"/>
    <w:rsid w:val="00F57302"/>
    <w:rsid w:val="00F60E41"/>
    <w:rsid w:val="00F61250"/>
    <w:rsid w:val="00F615A2"/>
    <w:rsid w:val="00F6184B"/>
    <w:rsid w:val="00F61DCB"/>
    <w:rsid w:val="00F61FA8"/>
    <w:rsid w:val="00F625AF"/>
    <w:rsid w:val="00F62B02"/>
    <w:rsid w:val="00F63533"/>
    <w:rsid w:val="00F63A53"/>
    <w:rsid w:val="00F6466C"/>
    <w:rsid w:val="00F66998"/>
    <w:rsid w:val="00F675CF"/>
    <w:rsid w:val="00F67E18"/>
    <w:rsid w:val="00F704C5"/>
    <w:rsid w:val="00F710CC"/>
    <w:rsid w:val="00F71745"/>
    <w:rsid w:val="00F72644"/>
    <w:rsid w:val="00F728C8"/>
    <w:rsid w:val="00F72F46"/>
    <w:rsid w:val="00F74D5D"/>
    <w:rsid w:val="00F75913"/>
    <w:rsid w:val="00F7628B"/>
    <w:rsid w:val="00F76692"/>
    <w:rsid w:val="00F801D8"/>
    <w:rsid w:val="00F81247"/>
    <w:rsid w:val="00F8150B"/>
    <w:rsid w:val="00F82AC2"/>
    <w:rsid w:val="00F82D4F"/>
    <w:rsid w:val="00F82DBE"/>
    <w:rsid w:val="00F83064"/>
    <w:rsid w:val="00F8367B"/>
    <w:rsid w:val="00F84D9C"/>
    <w:rsid w:val="00F84E6E"/>
    <w:rsid w:val="00F852F9"/>
    <w:rsid w:val="00F859FC"/>
    <w:rsid w:val="00F85FEC"/>
    <w:rsid w:val="00F8631D"/>
    <w:rsid w:val="00F86454"/>
    <w:rsid w:val="00F864D2"/>
    <w:rsid w:val="00F87095"/>
    <w:rsid w:val="00F875B6"/>
    <w:rsid w:val="00F87C6B"/>
    <w:rsid w:val="00F87D42"/>
    <w:rsid w:val="00F87F17"/>
    <w:rsid w:val="00F92345"/>
    <w:rsid w:val="00F92591"/>
    <w:rsid w:val="00F930A1"/>
    <w:rsid w:val="00F93243"/>
    <w:rsid w:val="00F93BC6"/>
    <w:rsid w:val="00F93D2D"/>
    <w:rsid w:val="00F94B9F"/>
    <w:rsid w:val="00F94D55"/>
    <w:rsid w:val="00F95429"/>
    <w:rsid w:val="00F958FE"/>
    <w:rsid w:val="00F9625E"/>
    <w:rsid w:val="00F96772"/>
    <w:rsid w:val="00F969C5"/>
    <w:rsid w:val="00F96D70"/>
    <w:rsid w:val="00F97D71"/>
    <w:rsid w:val="00FA149D"/>
    <w:rsid w:val="00FA1B2F"/>
    <w:rsid w:val="00FA1D86"/>
    <w:rsid w:val="00FA2353"/>
    <w:rsid w:val="00FA2795"/>
    <w:rsid w:val="00FA2D8B"/>
    <w:rsid w:val="00FA2ECD"/>
    <w:rsid w:val="00FA5686"/>
    <w:rsid w:val="00FA5BBA"/>
    <w:rsid w:val="00FA5C85"/>
    <w:rsid w:val="00FA5CF7"/>
    <w:rsid w:val="00FA6821"/>
    <w:rsid w:val="00FA6F82"/>
    <w:rsid w:val="00FB02C2"/>
    <w:rsid w:val="00FB05ED"/>
    <w:rsid w:val="00FB098F"/>
    <w:rsid w:val="00FB0B60"/>
    <w:rsid w:val="00FB1D58"/>
    <w:rsid w:val="00FB213B"/>
    <w:rsid w:val="00FB25EF"/>
    <w:rsid w:val="00FB281E"/>
    <w:rsid w:val="00FB2D17"/>
    <w:rsid w:val="00FB3667"/>
    <w:rsid w:val="00FB40EB"/>
    <w:rsid w:val="00FB424B"/>
    <w:rsid w:val="00FB43B5"/>
    <w:rsid w:val="00FB4700"/>
    <w:rsid w:val="00FB4909"/>
    <w:rsid w:val="00FB53C7"/>
    <w:rsid w:val="00FB5E3E"/>
    <w:rsid w:val="00FB5F74"/>
    <w:rsid w:val="00FB60B1"/>
    <w:rsid w:val="00FB7CAD"/>
    <w:rsid w:val="00FC0106"/>
    <w:rsid w:val="00FC0145"/>
    <w:rsid w:val="00FC050D"/>
    <w:rsid w:val="00FC19F4"/>
    <w:rsid w:val="00FC3271"/>
    <w:rsid w:val="00FC36C9"/>
    <w:rsid w:val="00FC36D1"/>
    <w:rsid w:val="00FC4249"/>
    <w:rsid w:val="00FC4540"/>
    <w:rsid w:val="00FC5284"/>
    <w:rsid w:val="00FC5D33"/>
    <w:rsid w:val="00FC63F6"/>
    <w:rsid w:val="00FC6EBC"/>
    <w:rsid w:val="00FC7A5B"/>
    <w:rsid w:val="00FC7CCF"/>
    <w:rsid w:val="00FD00DF"/>
    <w:rsid w:val="00FD07F9"/>
    <w:rsid w:val="00FD114D"/>
    <w:rsid w:val="00FD1D90"/>
    <w:rsid w:val="00FD1ED1"/>
    <w:rsid w:val="00FD2017"/>
    <w:rsid w:val="00FD2150"/>
    <w:rsid w:val="00FD2220"/>
    <w:rsid w:val="00FD3BDA"/>
    <w:rsid w:val="00FD5580"/>
    <w:rsid w:val="00FE089F"/>
    <w:rsid w:val="00FE0AC0"/>
    <w:rsid w:val="00FE1130"/>
    <w:rsid w:val="00FE2683"/>
    <w:rsid w:val="00FE2BD1"/>
    <w:rsid w:val="00FE2C6A"/>
    <w:rsid w:val="00FE2F05"/>
    <w:rsid w:val="00FE3200"/>
    <w:rsid w:val="00FE3B3D"/>
    <w:rsid w:val="00FE404E"/>
    <w:rsid w:val="00FE4DCB"/>
    <w:rsid w:val="00FE4E60"/>
    <w:rsid w:val="00FE5116"/>
    <w:rsid w:val="00FE619E"/>
    <w:rsid w:val="00FE67D0"/>
    <w:rsid w:val="00FE6BD3"/>
    <w:rsid w:val="00FE7837"/>
    <w:rsid w:val="00FE7DE7"/>
    <w:rsid w:val="00FF0020"/>
    <w:rsid w:val="00FF160B"/>
    <w:rsid w:val="00FF2189"/>
    <w:rsid w:val="00FF422E"/>
    <w:rsid w:val="00FF4E80"/>
    <w:rsid w:val="00FF50C0"/>
    <w:rsid w:val="00FF6E66"/>
    <w:rsid w:val="00FF7DAF"/>
    <w:rsid w:val="00FF7E74"/>
    <w:rsid w:val="00FF7E8F"/>
    <w:rsid w:val="014E4831"/>
    <w:rsid w:val="0179697A"/>
    <w:rsid w:val="01BA73E4"/>
    <w:rsid w:val="01BC61A4"/>
    <w:rsid w:val="01FB23CB"/>
    <w:rsid w:val="026D5C3B"/>
    <w:rsid w:val="029370C7"/>
    <w:rsid w:val="029E0CDB"/>
    <w:rsid w:val="02C60B85"/>
    <w:rsid w:val="02EA7AD6"/>
    <w:rsid w:val="035D4E5C"/>
    <w:rsid w:val="035F495A"/>
    <w:rsid w:val="0378063E"/>
    <w:rsid w:val="03970EF3"/>
    <w:rsid w:val="03AD5615"/>
    <w:rsid w:val="03EE1902"/>
    <w:rsid w:val="04716658"/>
    <w:rsid w:val="049C2D1F"/>
    <w:rsid w:val="04B270C1"/>
    <w:rsid w:val="04DD3789"/>
    <w:rsid w:val="055E085F"/>
    <w:rsid w:val="055F62E0"/>
    <w:rsid w:val="05754C01"/>
    <w:rsid w:val="05B5126E"/>
    <w:rsid w:val="05D77224"/>
    <w:rsid w:val="07071B14"/>
    <w:rsid w:val="07277E4A"/>
    <w:rsid w:val="073161DB"/>
    <w:rsid w:val="076808B4"/>
    <w:rsid w:val="078A686A"/>
    <w:rsid w:val="07C06D44"/>
    <w:rsid w:val="07CA2ED7"/>
    <w:rsid w:val="08575FBE"/>
    <w:rsid w:val="08C52D6F"/>
    <w:rsid w:val="091A3AFD"/>
    <w:rsid w:val="093B1AB4"/>
    <w:rsid w:val="095B7DEA"/>
    <w:rsid w:val="0971450C"/>
    <w:rsid w:val="0972418C"/>
    <w:rsid w:val="098708AE"/>
    <w:rsid w:val="09926C3F"/>
    <w:rsid w:val="09937F44"/>
    <w:rsid w:val="09D50F7A"/>
    <w:rsid w:val="09FE75F3"/>
    <w:rsid w:val="0A1E592A"/>
    <w:rsid w:val="0A2055A9"/>
    <w:rsid w:val="0A616013"/>
    <w:rsid w:val="0A765FB8"/>
    <w:rsid w:val="0A810780"/>
    <w:rsid w:val="0A824B7C"/>
    <w:rsid w:val="0AAC0A11"/>
    <w:rsid w:val="0ACD69C7"/>
    <w:rsid w:val="0AED4CFD"/>
    <w:rsid w:val="0AEE277F"/>
    <w:rsid w:val="0B393AF8"/>
    <w:rsid w:val="0B3A7A6C"/>
    <w:rsid w:val="0C281202"/>
    <w:rsid w:val="0C323D10"/>
    <w:rsid w:val="0C3D5924"/>
    <w:rsid w:val="0C7F1C11"/>
    <w:rsid w:val="0C9363D2"/>
    <w:rsid w:val="0CD6481E"/>
    <w:rsid w:val="0CE51EE5"/>
    <w:rsid w:val="0D4C5AE1"/>
    <w:rsid w:val="0D4F31E3"/>
    <w:rsid w:val="0D591574"/>
    <w:rsid w:val="0D6D0214"/>
    <w:rsid w:val="0D8301BA"/>
    <w:rsid w:val="0D845C3B"/>
    <w:rsid w:val="0DA601C5"/>
    <w:rsid w:val="0DBB0313"/>
    <w:rsid w:val="0DC40C23"/>
    <w:rsid w:val="0DC444A6"/>
    <w:rsid w:val="0DCF2837"/>
    <w:rsid w:val="0DDA0BC8"/>
    <w:rsid w:val="0DFB6B7F"/>
    <w:rsid w:val="0E1B1632"/>
    <w:rsid w:val="0E722040"/>
    <w:rsid w:val="0E7D3C55"/>
    <w:rsid w:val="0EA97F9C"/>
    <w:rsid w:val="0EC904D1"/>
    <w:rsid w:val="0EF56D96"/>
    <w:rsid w:val="0EFF09AB"/>
    <w:rsid w:val="0F025DCB"/>
    <w:rsid w:val="0F411414"/>
    <w:rsid w:val="0F6B5ADC"/>
    <w:rsid w:val="0FAD1DC8"/>
    <w:rsid w:val="0FB70159"/>
    <w:rsid w:val="10036F54"/>
    <w:rsid w:val="1030329B"/>
    <w:rsid w:val="103A162C"/>
    <w:rsid w:val="10705587"/>
    <w:rsid w:val="107D339A"/>
    <w:rsid w:val="109C3C4F"/>
    <w:rsid w:val="10A61FE0"/>
    <w:rsid w:val="10B10371"/>
    <w:rsid w:val="10E82A49"/>
    <w:rsid w:val="10F20DDB"/>
    <w:rsid w:val="115E178F"/>
    <w:rsid w:val="11C101AE"/>
    <w:rsid w:val="11D70154"/>
    <w:rsid w:val="12160F3D"/>
    <w:rsid w:val="124D3615"/>
    <w:rsid w:val="12591626"/>
    <w:rsid w:val="12A44024"/>
    <w:rsid w:val="12C67A5C"/>
    <w:rsid w:val="13270D7A"/>
    <w:rsid w:val="133C549C"/>
    <w:rsid w:val="13577E6B"/>
    <w:rsid w:val="136817E4"/>
    <w:rsid w:val="137333F8"/>
    <w:rsid w:val="13D42198"/>
    <w:rsid w:val="14214815"/>
    <w:rsid w:val="144349CA"/>
    <w:rsid w:val="144C52D9"/>
    <w:rsid w:val="150F2E19"/>
    <w:rsid w:val="15663828"/>
    <w:rsid w:val="15B21729"/>
    <w:rsid w:val="15D31C5D"/>
    <w:rsid w:val="15E563CE"/>
    <w:rsid w:val="161E6859"/>
    <w:rsid w:val="168C360A"/>
    <w:rsid w:val="1696199B"/>
    <w:rsid w:val="16C16063"/>
    <w:rsid w:val="17244A82"/>
    <w:rsid w:val="17394A28"/>
    <w:rsid w:val="17592D5E"/>
    <w:rsid w:val="176E7480"/>
    <w:rsid w:val="17707100"/>
    <w:rsid w:val="17CD1301"/>
    <w:rsid w:val="17DC7AB4"/>
    <w:rsid w:val="17E625C2"/>
    <w:rsid w:val="18345F44"/>
    <w:rsid w:val="185309F7"/>
    <w:rsid w:val="1889564E"/>
    <w:rsid w:val="188A0ED1"/>
    <w:rsid w:val="189439DF"/>
    <w:rsid w:val="18C8188B"/>
    <w:rsid w:val="18E018E0"/>
    <w:rsid w:val="18EB7C71"/>
    <w:rsid w:val="194C6A11"/>
    <w:rsid w:val="19574DA2"/>
    <w:rsid w:val="19BA322A"/>
    <w:rsid w:val="19BA37C2"/>
    <w:rsid w:val="19C41B53"/>
    <w:rsid w:val="19E47E89"/>
    <w:rsid w:val="19EF621A"/>
    <w:rsid w:val="1A2608F3"/>
    <w:rsid w:val="1A466C29"/>
    <w:rsid w:val="1A48432A"/>
    <w:rsid w:val="1A674BDF"/>
    <w:rsid w:val="1A880997"/>
    <w:rsid w:val="1A9212A7"/>
    <w:rsid w:val="1ADE3924"/>
    <w:rsid w:val="1B0A7C6C"/>
    <w:rsid w:val="1B155FFD"/>
    <w:rsid w:val="1B2A271F"/>
    <w:rsid w:val="1BDA39E6"/>
    <w:rsid w:val="1C197E29"/>
    <w:rsid w:val="1C2F1FCD"/>
    <w:rsid w:val="1C57584E"/>
    <w:rsid w:val="1C6F4FB4"/>
    <w:rsid w:val="1CBB7632"/>
    <w:rsid w:val="1CFD009B"/>
    <w:rsid w:val="1CFE13A0"/>
    <w:rsid w:val="1D1E1D0B"/>
    <w:rsid w:val="1D54432D"/>
    <w:rsid w:val="1D5E26BE"/>
    <w:rsid w:val="1D754862"/>
    <w:rsid w:val="1D8B6A06"/>
    <w:rsid w:val="1DAB4D3C"/>
    <w:rsid w:val="1DE13B91"/>
    <w:rsid w:val="1E0C3ADC"/>
    <w:rsid w:val="1E4D4545"/>
    <w:rsid w:val="1E846C1E"/>
    <w:rsid w:val="1F31003B"/>
    <w:rsid w:val="1F33222D"/>
    <w:rsid w:val="1F5C4703"/>
    <w:rsid w:val="1F936DDB"/>
    <w:rsid w:val="1F9D516C"/>
    <w:rsid w:val="1FA86D80"/>
    <w:rsid w:val="1FCA14B3"/>
    <w:rsid w:val="1FD40D0E"/>
    <w:rsid w:val="1FD552C6"/>
    <w:rsid w:val="200A5B20"/>
    <w:rsid w:val="203778E9"/>
    <w:rsid w:val="204B6589"/>
    <w:rsid w:val="210459B8"/>
    <w:rsid w:val="21452025"/>
    <w:rsid w:val="214F03B6"/>
    <w:rsid w:val="217B46FD"/>
    <w:rsid w:val="217C217E"/>
    <w:rsid w:val="22353B2B"/>
    <w:rsid w:val="223F1EBC"/>
    <w:rsid w:val="224A077C"/>
    <w:rsid w:val="225F01F3"/>
    <w:rsid w:val="22754915"/>
    <w:rsid w:val="22CB5324"/>
    <w:rsid w:val="22ED32DA"/>
    <w:rsid w:val="230279FC"/>
    <w:rsid w:val="23225D32"/>
    <w:rsid w:val="23443CE8"/>
    <w:rsid w:val="23906366"/>
    <w:rsid w:val="23E76D75"/>
    <w:rsid w:val="240772AA"/>
    <w:rsid w:val="243D3F00"/>
    <w:rsid w:val="24531927"/>
    <w:rsid w:val="24683E4B"/>
    <w:rsid w:val="24952391"/>
    <w:rsid w:val="24955C14"/>
    <w:rsid w:val="24EB0BA1"/>
    <w:rsid w:val="251870E7"/>
    <w:rsid w:val="252C160A"/>
    <w:rsid w:val="25415D2D"/>
    <w:rsid w:val="254519CA"/>
    <w:rsid w:val="25795BD8"/>
    <w:rsid w:val="25A30350"/>
    <w:rsid w:val="25EF714A"/>
    <w:rsid w:val="25F954DB"/>
    <w:rsid w:val="26024DD2"/>
    <w:rsid w:val="26102F02"/>
    <w:rsid w:val="26105100"/>
    <w:rsid w:val="268705C2"/>
    <w:rsid w:val="26C848AF"/>
    <w:rsid w:val="26D32C40"/>
    <w:rsid w:val="26DE0FD1"/>
    <w:rsid w:val="273419E0"/>
    <w:rsid w:val="274B7407"/>
    <w:rsid w:val="278C7E70"/>
    <w:rsid w:val="27901BC1"/>
    <w:rsid w:val="281954D5"/>
    <w:rsid w:val="282E547B"/>
    <w:rsid w:val="2845181D"/>
    <w:rsid w:val="28855E8A"/>
    <w:rsid w:val="2892191C"/>
    <w:rsid w:val="28C668F3"/>
    <w:rsid w:val="28DD6A42"/>
    <w:rsid w:val="28F22C3A"/>
    <w:rsid w:val="28F306BC"/>
    <w:rsid w:val="29084DDE"/>
    <w:rsid w:val="291369F2"/>
    <w:rsid w:val="291D7302"/>
    <w:rsid w:val="293272A7"/>
    <w:rsid w:val="29453572"/>
    <w:rsid w:val="295E35EE"/>
    <w:rsid w:val="295E7D6B"/>
    <w:rsid w:val="2969197F"/>
    <w:rsid w:val="29D76728"/>
    <w:rsid w:val="2A0C1188"/>
    <w:rsid w:val="2A4370E4"/>
    <w:rsid w:val="2A8F5EDF"/>
    <w:rsid w:val="2ADD3EA5"/>
    <w:rsid w:val="2AE546EF"/>
    <w:rsid w:val="2AE568ED"/>
    <w:rsid w:val="2AF04C7E"/>
    <w:rsid w:val="2AFB6893"/>
    <w:rsid w:val="2B3C72FC"/>
    <w:rsid w:val="2B47568D"/>
    <w:rsid w:val="2B5272A1"/>
    <w:rsid w:val="2B762613"/>
    <w:rsid w:val="2B9E191F"/>
    <w:rsid w:val="2BA8442D"/>
    <w:rsid w:val="2BBF4052"/>
    <w:rsid w:val="2BD40774"/>
    <w:rsid w:val="2BEB619B"/>
    <w:rsid w:val="2C312D46"/>
    <w:rsid w:val="2C773801"/>
    <w:rsid w:val="2C8D37A6"/>
    <w:rsid w:val="2CC35E7E"/>
    <w:rsid w:val="2D036C68"/>
    <w:rsid w:val="2D0F4C79"/>
    <w:rsid w:val="2D1026FA"/>
    <w:rsid w:val="2D71729C"/>
    <w:rsid w:val="2D9177D0"/>
    <w:rsid w:val="2E2831C7"/>
    <w:rsid w:val="2E296A4A"/>
    <w:rsid w:val="2E7510C8"/>
    <w:rsid w:val="2E932CFE"/>
    <w:rsid w:val="2E9F2F97"/>
    <w:rsid w:val="2EEB458A"/>
    <w:rsid w:val="2F02092C"/>
    <w:rsid w:val="2F0C34E0"/>
    <w:rsid w:val="2F2346E4"/>
    <w:rsid w:val="2F4E2FA9"/>
    <w:rsid w:val="2F6376CB"/>
    <w:rsid w:val="2F642F4F"/>
    <w:rsid w:val="2F835A02"/>
    <w:rsid w:val="2FA45F37"/>
    <w:rsid w:val="2FC51CEF"/>
    <w:rsid w:val="2FDC6090"/>
    <w:rsid w:val="30110AE9"/>
    <w:rsid w:val="30534DD6"/>
    <w:rsid w:val="305D3167"/>
    <w:rsid w:val="307D149D"/>
    <w:rsid w:val="308974AE"/>
    <w:rsid w:val="31416C5C"/>
    <w:rsid w:val="316C3324"/>
    <w:rsid w:val="31A46D01"/>
    <w:rsid w:val="31F500A1"/>
    <w:rsid w:val="321C1E43"/>
    <w:rsid w:val="32460A89"/>
    <w:rsid w:val="32506E1A"/>
    <w:rsid w:val="32724DD0"/>
    <w:rsid w:val="328714F2"/>
    <w:rsid w:val="32A77828"/>
    <w:rsid w:val="32C957DF"/>
    <w:rsid w:val="32D90B86"/>
    <w:rsid w:val="32E80292"/>
    <w:rsid w:val="330A6248"/>
    <w:rsid w:val="331F61ED"/>
    <w:rsid w:val="3334290F"/>
    <w:rsid w:val="33766BFC"/>
    <w:rsid w:val="34196405"/>
    <w:rsid w:val="3424001A"/>
    <w:rsid w:val="34630E03"/>
    <w:rsid w:val="346F6E14"/>
    <w:rsid w:val="349B0F5D"/>
    <w:rsid w:val="34F23B6A"/>
    <w:rsid w:val="35121EA0"/>
    <w:rsid w:val="35260FC4"/>
    <w:rsid w:val="353201D7"/>
    <w:rsid w:val="35335C58"/>
    <w:rsid w:val="35740C40"/>
    <w:rsid w:val="35A04F88"/>
    <w:rsid w:val="35E037F3"/>
    <w:rsid w:val="35F75996"/>
    <w:rsid w:val="36160449"/>
    <w:rsid w:val="361A7245"/>
    <w:rsid w:val="362D5E70"/>
    <w:rsid w:val="3647586B"/>
    <w:rsid w:val="364D63A5"/>
    <w:rsid w:val="36874DFF"/>
    <w:rsid w:val="36A43530"/>
    <w:rsid w:val="36A46DB4"/>
    <w:rsid w:val="36B934D6"/>
    <w:rsid w:val="36E5781D"/>
    <w:rsid w:val="37111966"/>
    <w:rsid w:val="37202F54"/>
    <w:rsid w:val="379D6FCC"/>
    <w:rsid w:val="37A92DDE"/>
    <w:rsid w:val="37B336EE"/>
    <w:rsid w:val="37D416A4"/>
    <w:rsid w:val="37F479DA"/>
    <w:rsid w:val="381F40A2"/>
    <w:rsid w:val="382B20B3"/>
    <w:rsid w:val="38402058"/>
    <w:rsid w:val="385507AA"/>
    <w:rsid w:val="3860038E"/>
    <w:rsid w:val="386B671F"/>
    <w:rsid w:val="38764AB1"/>
    <w:rsid w:val="387821B2"/>
    <w:rsid w:val="38CE513F"/>
    <w:rsid w:val="38EE3475"/>
    <w:rsid w:val="39255B4E"/>
    <w:rsid w:val="392F3EDF"/>
    <w:rsid w:val="399B4893"/>
    <w:rsid w:val="39D236E8"/>
    <w:rsid w:val="3A2940F7"/>
    <w:rsid w:val="3A6A61E5"/>
    <w:rsid w:val="3A9F2E3C"/>
    <w:rsid w:val="3AA2053D"/>
    <w:rsid w:val="3AC10DF2"/>
    <w:rsid w:val="3B227B92"/>
    <w:rsid w:val="3B2D5F23"/>
    <w:rsid w:val="3B6405FB"/>
    <w:rsid w:val="3B8443B3"/>
    <w:rsid w:val="3B9968D7"/>
    <w:rsid w:val="3BB02C79"/>
    <w:rsid w:val="3BB106FB"/>
    <w:rsid w:val="3BBA100A"/>
    <w:rsid w:val="3BFD2D78"/>
    <w:rsid w:val="3C520284"/>
    <w:rsid w:val="3C535D05"/>
    <w:rsid w:val="3CE974FE"/>
    <w:rsid w:val="3D09183B"/>
    <w:rsid w:val="3D0B54B4"/>
    <w:rsid w:val="3D407F0C"/>
    <w:rsid w:val="3D61263F"/>
    <w:rsid w:val="3E0456CC"/>
    <w:rsid w:val="3E0F72E0"/>
    <w:rsid w:val="3E317495"/>
    <w:rsid w:val="3E507D4A"/>
    <w:rsid w:val="3E7B4411"/>
    <w:rsid w:val="3E9D45C5"/>
    <w:rsid w:val="3ECC7AD8"/>
    <w:rsid w:val="3ED42521"/>
    <w:rsid w:val="3F2A54AE"/>
    <w:rsid w:val="3F6B5F18"/>
    <w:rsid w:val="3F8B424E"/>
    <w:rsid w:val="3F9625DF"/>
    <w:rsid w:val="3FED2FEE"/>
    <w:rsid w:val="4015208E"/>
    <w:rsid w:val="402E72DA"/>
    <w:rsid w:val="403A30ED"/>
    <w:rsid w:val="405939A2"/>
    <w:rsid w:val="40857CE9"/>
    <w:rsid w:val="40C60753"/>
    <w:rsid w:val="40D16AE4"/>
    <w:rsid w:val="40E63206"/>
    <w:rsid w:val="412874F2"/>
    <w:rsid w:val="415E1BCB"/>
    <w:rsid w:val="41741B70"/>
    <w:rsid w:val="417E7F01"/>
    <w:rsid w:val="41934623"/>
    <w:rsid w:val="41C0096A"/>
    <w:rsid w:val="42204A3A"/>
    <w:rsid w:val="423676B0"/>
    <w:rsid w:val="426339F7"/>
    <w:rsid w:val="42780119"/>
    <w:rsid w:val="428377AF"/>
    <w:rsid w:val="42985759"/>
    <w:rsid w:val="429960CF"/>
    <w:rsid w:val="43254DBA"/>
    <w:rsid w:val="43311780"/>
    <w:rsid w:val="43677A21"/>
    <w:rsid w:val="43B3461E"/>
    <w:rsid w:val="4409502C"/>
    <w:rsid w:val="440A08B0"/>
    <w:rsid w:val="44146C41"/>
    <w:rsid w:val="442B2FE3"/>
    <w:rsid w:val="44D84400"/>
    <w:rsid w:val="44E32791"/>
    <w:rsid w:val="44F92736"/>
    <w:rsid w:val="44FE1514"/>
    <w:rsid w:val="452E518F"/>
    <w:rsid w:val="452F4E0F"/>
    <w:rsid w:val="45493CCA"/>
    <w:rsid w:val="456552E9"/>
    <w:rsid w:val="456F5BF8"/>
    <w:rsid w:val="4585361F"/>
    <w:rsid w:val="4586581D"/>
    <w:rsid w:val="4587329F"/>
    <w:rsid w:val="459B1F40"/>
    <w:rsid w:val="45FD4563"/>
    <w:rsid w:val="460728F4"/>
    <w:rsid w:val="46120628"/>
    <w:rsid w:val="463333B8"/>
    <w:rsid w:val="46336C3B"/>
    <w:rsid w:val="465F0D84"/>
    <w:rsid w:val="46691693"/>
    <w:rsid w:val="46DC154C"/>
    <w:rsid w:val="46EB2B66"/>
    <w:rsid w:val="47423575"/>
    <w:rsid w:val="4764152B"/>
    <w:rsid w:val="47BB79BB"/>
    <w:rsid w:val="47DA0270"/>
    <w:rsid w:val="480D1AA5"/>
    <w:rsid w:val="4826706B"/>
    <w:rsid w:val="483D5387"/>
    <w:rsid w:val="48690DD9"/>
    <w:rsid w:val="4888168E"/>
    <w:rsid w:val="48C920F7"/>
    <w:rsid w:val="48F467BF"/>
    <w:rsid w:val="48F5643E"/>
    <w:rsid w:val="49121A25"/>
    <w:rsid w:val="492A0E97"/>
    <w:rsid w:val="492B471A"/>
    <w:rsid w:val="49626DF3"/>
    <w:rsid w:val="496C5184"/>
    <w:rsid w:val="49773515"/>
    <w:rsid w:val="49822BAA"/>
    <w:rsid w:val="49B83F7E"/>
    <w:rsid w:val="49D97D36"/>
    <w:rsid w:val="49E4194A"/>
    <w:rsid w:val="49ED225A"/>
    <w:rsid w:val="4A0F0210"/>
    <w:rsid w:val="4A1A079F"/>
    <w:rsid w:val="4A244932"/>
    <w:rsid w:val="4A500C79"/>
    <w:rsid w:val="4A5B700A"/>
    <w:rsid w:val="4ADC40E1"/>
    <w:rsid w:val="4AFE2097"/>
    <w:rsid w:val="4B1367B9"/>
    <w:rsid w:val="4B1E4B4A"/>
    <w:rsid w:val="4B547222"/>
    <w:rsid w:val="4BA17322"/>
    <w:rsid w:val="4BB61845"/>
    <w:rsid w:val="4BC15658"/>
    <w:rsid w:val="4C0360C1"/>
    <w:rsid w:val="4C4423AE"/>
    <w:rsid w:val="4C632C63"/>
    <w:rsid w:val="4C6E0FF4"/>
    <w:rsid w:val="4C787385"/>
    <w:rsid w:val="4CCA607B"/>
    <w:rsid w:val="4CDB5DA5"/>
    <w:rsid w:val="4CE679B9"/>
    <w:rsid w:val="4D077EEE"/>
    <w:rsid w:val="4D2607A2"/>
    <w:rsid w:val="4D280422"/>
    <w:rsid w:val="4D3E5E49"/>
    <w:rsid w:val="4D935553"/>
    <w:rsid w:val="4D940DD6"/>
    <w:rsid w:val="4DAA76F7"/>
    <w:rsid w:val="4DEB39E3"/>
    <w:rsid w:val="4E574397"/>
    <w:rsid w:val="4E8406DF"/>
    <w:rsid w:val="4EC436C7"/>
    <w:rsid w:val="4EDA586A"/>
    <w:rsid w:val="4EF9611F"/>
    <w:rsid w:val="4F252466"/>
    <w:rsid w:val="4F506B2E"/>
    <w:rsid w:val="4F714AE4"/>
    <w:rsid w:val="4F871206"/>
    <w:rsid w:val="4F912E1A"/>
    <w:rsid w:val="4F9C11AB"/>
    <w:rsid w:val="4FA61409"/>
    <w:rsid w:val="4FBE1360"/>
    <w:rsid w:val="4FC854F3"/>
    <w:rsid w:val="4FD33884"/>
    <w:rsid w:val="4FD41305"/>
    <w:rsid w:val="4FDE7696"/>
    <w:rsid w:val="4FF17EF4"/>
    <w:rsid w:val="506C277D"/>
    <w:rsid w:val="508D0734"/>
    <w:rsid w:val="50C20F8E"/>
    <w:rsid w:val="50C2570B"/>
    <w:rsid w:val="50E23A41"/>
    <w:rsid w:val="50E336C1"/>
    <w:rsid w:val="51063B27"/>
    <w:rsid w:val="5119199D"/>
    <w:rsid w:val="514F07F2"/>
    <w:rsid w:val="515F5A90"/>
    <w:rsid w:val="516F6B28"/>
    <w:rsid w:val="518F4E5F"/>
    <w:rsid w:val="51C67537"/>
    <w:rsid w:val="51D13349"/>
    <w:rsid w:val="52077FA0"/>
    <w:rsid w:val="52121BB5"/>
    <w:rsid w:val="52B54C41"/>
    <w:rsid w:val="52D576F4"/>
    <w:rsid w:val="52EB3A96"/>
    <w:rsid w:val="530B1DCC"/>
    <w:rsid w:val="532B0103"/>
    <w:rsid w:val="53383B95"/>
    <w:rsid w:val="53F16BC7"/>
    <w:rsid w:val="53FA3C53"/>
    <w:rsid w:val="54267F9B"/>
    <w:rsid w:val="54684287"/>
    <w:rsid w:val="547E642B"/>
    <w:rsid w:val="549A5EE9"/>
    <w:rsid w:val="54DF2FCC"/>
    <w:rsid w:val="55145A25"/>
    <w:rsid w:val="551556A5"/>
    <w:rsid w:val="55563F10"/>
    <w:rsid w:val="5557610E"/>
    <w:rsid w:val="55CD4E53"/>
    <w:rsid w:val="55D831E4"/>
    <w:rsid w:val="55ED318A"/>
    <w:rsid w:val="561B4F52"/>
    <w:rsid w:val="564F1F29"/>
    <w:rsid w:val="565079AB"/>
    <w:rsid w:val="565A5D3C"/>
    <w:rsid w:val="5670465C"/>
    <w:rsid w:val="56AA5F00"/>
    <w:rsid w:val="56BC6CDA"/>
    <w:rsid w:val="56C4574F"/>
    <w:rsid w:val="56D133FC"/>
    <w:rsid w:val="57081358"/>
    <w:rsid w:val="574A1DC1"/>
    <w:rsid w:val="577F481A"/>
    <w:rsid w:val="5796443F"/>
    <w:rsid w:val="57A027D0"/>
    <w:rsid w:val="57AB0B61"/>
    <w:rsid w:val="57ED4E4E"/>
    <w:rsid w:val="58021570"/>
    <w:rsid w:val="58591F7E"/>
    <w:rsid w:val="58A600B4"/>
    <w:rsid w:val="591B3341"/>
    <w:rsid w:val="593276E3"/>
    <w:rsid w:val="59487688"/>
    <w:rsid w:val="59537C18"/>
    <w:rsid w:val="59687BBD"/>
    <w:rsid w:val="596F44B8"/>
    <w:rsid w:val="59A92BA5"/>
    <w:rsid w:val="59F50AA6"/>
    <w:rsid w:val="5A1631D9"/>
    <w:rsid w:val="5A4D36B3"/>
    <w:rsid w:val="5A615BD7"/>
    <w:rsid w:val="5A6D3BE8"/>
    <w:rsid w:val="5A8D1F1E"/>
    <w:rsid w:val="5AC445F6"/>
    <w:rsid w:val="5ACF2987"/>
    <w:rsid w:val="5AE470AA"/>
    <w:rsid w:val="5B1A7584"/>
    <w:rsid w:val="5B490AD6"/>
    <w:rsid w:val="5B705D94"/>
    <w:rsid w:val="5B9C20DB"/>
    <w:rsid w:val="5BB167FD"/>
    <w:rsid w:val="5BB3647D"/>
    <w:rsid w:val="5BC86423"/>
    <w:rsid w:val="5BDE05C6"/>
    <w:rsid w:val="5BFD0E7B"/>
    <w:rsid w:val="5C1F6E31"/>
    <w:rsid w:val="5C201030"/>
    <w:rsid w:val="5C6B5C2C"/>
    <w:rsid w:val="5C7752C2"/>
    <w:rsid w:val="5CB702A9"/>
    <w:rsid w:val="5CCC024F"/>
    <w:rsid w:val="5CD765E0"/>
    <w:rsid w:val="5CE24971"/>
    <w:rsid w:val="5D5071A3"/>
    <w:rsid w:val="5DD14279"/>
    <w:rsid w:val="5DDB4B89"/>
    <w:rsid w:val="5E070ED0"/>
    <w:rsid w:val="5E731884"/>
    <w:rsid w:val="5ECA2293"/>
    <w:rsid w:val="5EF665DA"/>
    <w:rsid w:val="5F0C077E"/>
    <w:rsid w:val="5F212CA2"/>
    <w:rsid w:val="5F2B1033"/>
    <w:rsid w:val="5F387044"/>
    <w:rsid w:val="5F62370B"/>
    <w:rsid w:val="5F6D1A9C"/>
    <w:rsid w:val="5F7836B0"/>
    <w:rsid w:val="5FB9411A"/>
    <w:rsid w:val="5FE307E1"/>
    <w:rsid w:val="5FFA0406"/>
    <w:rsid w:val="5FFA4B83"/>
    <w:rsid w:val="601C2B39"/>
    <w:rsid w:val="60510E15"/>
    <w:rsid w:val="60665537"/>
    <w:rsid w:val="60672FB9"/>
    <w:rsid w:val="609D7C10"/>
    <w:rsid w:val="60B35636"/>
    <w:rsid w:val="60BD5F46"/>
    <w:rsid w:val="60C842D7"/>
    <w:rsid w:val="60DE0679"/>
    <w:rsid w:val="610A27C2"/>
    <w:rsid w:val="61146955"/>
    <w:rsid w:val="61402C9C"/>
    <w:rsid w:val="617556F4"/>
    <w:rsid w:val="62441245"/>
    <w:rsid w:val="62654FFD"/>
    <w:rsid w:val="627C4C22"/>
    <w:rsid w:val="62D1432C"/>
    <w:rsid w:val="62D21DAE"/>
    <w:rsid w:val="63284D3B"/>
    <w:rsid w:val="634B0772"/>
    <w:rsid w:val="637F0FCD"/>
    <w:rsid w:val="63F7410E"/>
    <w:rsid w:val="64172445"/>
    <w:rsid w:val="64176BC2"/>
    <w:rsid w:val="643D3345"/>
    <w:rsid w:val="644C4E9D"/>
    <w:rsid w:val="64C47FDF"/>
    <w:rsid w:val="64FD39BC"/>
    <w:rsid w:val="65310993"/>
    <w:rsid w:val="65724C80"/>
    <w:rsid w:val="65886E23"/>
    <w:rsid w:val="65B456E9"/>
    <w:rsid w:val="65D43A20"/>
    <w:rsid w:val="65DF7832"/>
    <w:rsid w:val="65FC7F22"/>
    <w:rsid w:val="661F281A"/>
    <w:rsid w:val="66564EF2"/>
    <w:rsid w:val="66A27570"/>
    <w:rsid w:val="67046310"/>
    <w:rsid w:val="679C7788"/>
    <w:rsid w:val="67D234E5"/>
    <w:rsid w:val="67F33A1A"/>
    <w:rsid w:val="681364CD"/>
    <w:rsid w:val="684A4429"/>
    <w:rsid w:val="68B83318"/>
    <w:rsid w:val="69187F79"/>
    <w:rsid w:val="6923630A"/>
    <w:rsid w:val="692E211D"/>
    <w:rsid w:val="698450AA"/>
    <w:rsid w:val="698F6CBE"/>
    <w:rsid w:val="69D01878"/>
    <w:rsid w:val="69D07728"/>
    <w:rsid w:val="6A321D4B"/>
    <w:rsid w:val="6A3264C7"/>
    <w:rsid w:val="6A3C4858"/>
    <w:rsid w:val="6AA9520C"/>
    <w:rsid w:val="6AAA4E8C"/>
    <w:rsid w:val="6AD51554"/>
    <w:rsid w:val="6B2C79E4"/>
    <w:rsid w:val="6B3602F4"/>
    <w:rsid w:val="6B7845E0"/>
    <w:rsid w:val="6B8E6784"/>
    <w:rsid w:val="6BAE6CB9"/>
    <w:rsid w:val="6BC333DB"/>
    <w:rsid w:val="6BFA5AB3"/>
    <w:rsid w:val="6C105A58"/>
    <w:rsid w:val="6C264CF2"/>
    <w:rsid w:val="6C475BB2"/>
    <w:rsid w:val="6C7D060B"/>
    <w:rsid w:val="6C87087B"/>
    <w:rsid w:val="6C9D0B3F"/>
    <w:rsid w:val="6CC85207"/>
    <w:rsid w:val="6CDE15A9"/>
    <w:rsid w:val="6D4C79DE"/>
    <w:rsid w:val="6DA1296C"/>
    <w:rsid w:val="6DC22EA0"/>
    <w:rsid w:val="6DD85044"/>
    <w:rsid w:val="6E25131E"/>
    <w:rsid w:val="6E393DE4"/>
    <w:rsid w:val="6E4F3D89"/>
    <w:rsid w:val="6E9047F2"/>
    <w:rsid w:val="6ED2525C"/>
    <w:rsid w:val="6EDC35ED"/>
    <w:rsid w:val="6EF21014"/>
    <w:rsid w:val="6EF23592"/>
    <w:rsid w:val="6EFC51A7"/>
    <w:rsid w:val="6F333FFC"/>
    <w:rsid w:val="6F3E5C10"/>
    <w:rsid w:val="6F483FA1"/>
    <w:rsid w:val="6F7F6679"/>
    <w:rsid w:val="6F8B5D0F"/>
    <w:rsid w:val="6FAA2D41"/>
    <w:rsid w:val="6FCA1077"/>
    <w:rsid w:val="6FE05419"/>
    <w:rsid w:val="6FE12E9B"/>
    <w:rsid w:val="70241EF7"/>
    <w:rsid w:val="70427A3C"/>
    <w:rsid w:val="706E0500"/>
    <w:rsid w:val="708304A5"/>
    <w:rsid w:val="70AE4B6D"/>
    <w:rsid w:val="71263532"/>
    <w:rsid w:val="71267CAF"/>
    <w:rsid w:val="71A87053"/>
    <w:rsid w:val="71DE2CE0"/>
    <w:rsid w:val="71E91071"/>
    <w:rsid w:val="722A1ADB"/>
    <w:rsid w:val="722B755C"/>
    <w:rsid w:val="72601FB5"/>
    <w:rsid w:val="726141B3"/>
    <w:rsid w:val="72CD4B67"/>
    <w:rsid w:val="73303587"/>
    <w:rsid w:val="735B7C4E"/>
    <w:rsid w:val="73651863"/>
    <w:rsid w:val="739C06B8"/>
    <w:rsid w:val="73DC4D25"/>
    <w:rsid w:val="7408106C"/>
    <w:rsid w:val="748B700A"/>
    <w:rsid w:val="74964153"/>
    <w:rsid w:val="74CD42AD"/>
    <w:rsid w:val="74D74BBC"/>
    <w:rsid w:val="75011284"/>
    <w:rsid w:val="7523723A"/>
    <w:rsid w:val="7538395C"/>
    <w:rsid w:val="754E3901"/>
    <w:rsid w:val="756F76B9"/>
    <w:rsid w:val="75845FDA"/>
    <w:rsid w:val="759926FC"/>
    <w:rsid w:val="75CF09D8"/>
    <w:rsid w:val="75DA47EA"/>
    <w:rsid w:val="75DB69E8"/>
    <w:rsid w:val="75F1698E"/>
    <w:rsid w:val="76072D30"/>
    <w:rsid w:val="770B4B5C"/>
    <w:rsid w:val="776158EB"/>
    <w:rsid w:val="778E6C14"/>
    <w:rsid w:val="77A26354"/>
    <w:rsid w:val="77B95F79"/>
    <w:rsid w:val="77C4430A"/>
    <w:rsid w:val="783A3050"/>
    <w:rsid w:val="784513E1"/>
    <w:rsid w:val="78711EA5"/>
    <w:rsid w:val="787B48AE"/>
    <w:rsid w:val="787D153B"/>
    <w:rsid w:val="789D7871"/>
    <w:rsid w:val="78A60180"/>
    <w:rsid w:val="79096BA0"/>
    <w:rsid w:val="79187CFE"/>
    <w:rsid w:val="79ED2696"/>
    <w:rsid w:val="7A506EB7"/>
    <w:rsid w:val="7A6413DB"/>
    <w:rsid w:val="7A6E38A0"/>
    <w:rsid w:val="7A9D67A7"/>
    <w:rsid w:val="7AB03A59"/>
    <w:rsid w:val="7AE83BB3"/>
    <w:rsid w:val="7B070BE4"/>
    <w:rsid w:val="7B074467"/>
    <w:rsid w:val="7B690C89"/>
    <w:rsid w:val="7B7F75A9"/>
    <w:rsid w:val="7BAA3C71"/>
    <w:rsid w:val="7BAE62A6"/>
    <w:rsid w:val="7BD40338"/>
    <w:rsid w:val="7BF662EE"/>
    <w:rsid w:val="7C0B2A10"/>
    <w:rsid w:val="7C6347E5"/>
    <w:rsid w:val="7C985AF7"/>
    <w:rsid w:val="7CB83E2E"/>
    <w:rsid w:val="7CB918AF"/>
    <w:rsid w:val="7CEF1D89"/>
    <w:rsid w:val="7CFA011A"/>
    <w:rsid w:val="7D3B0B84"/>
    <w:rsid w:val="7D512D27"/>
    <w:rsid w:val="7D570460"/>
    <w:rsid w:val="7D937014"/>
    <w:rsid w:val="7DD47A7D"/>
    <w:rsid w:val="7DE91FA1"/>
    <w:rsid w:val="7E006343"/>
    <w:rsid w:val="7E013DC5"/>
    <w:rsid w:val="7E062FFE"/>
    <w:rsid w:val="7E6C6CF7"/>
    <w:rsid w:val="7E8C502E"/>
    <w:rsid w:val="7EAB7AE1"/>
    <w:rsid w:val="7EE221B9"/>
    <w:rsid w:val="7EE37C3B"/>
    <w:rsid w:val="7F392BC8"/>
    <w:rsid w:val="7F7052A0"/>
    <w:rsid w:val="7FBD539F"/>
    <w:rsid w:val="7FC71532"/>
    <w:rsid w:val="7FDC5C54"/>
    <w:rsid w:val="7FDD7E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Char">
    <w:name w:val="页脚 Char"/>
    <w:basedOn w:val="a0"/>
    <w:link w:val="a4"/>
    <w:uiPriority w:val="99"/>
    <w:rPr>
      <w:kern w:val="2"/>
      <w:sz w:val="18"/>
      <w:szCs w:val="18"/>
    </w:rPr>
  </w:style>
  <w:style w:type="character" w:customStyle="1" w:styleId="Char0">
    <w:name w:val="页眉 Char"/>
    <w:basedOn w:val="a0"/>
    <w:link w:val="a5"/>
    <w:uiPriority w:val="99"/>
    <w:rPr>
      <w:kern w:val="2"/>
      <w:sz w:val="18"/>
      <w:szCs w:val="18"/>
    </w:rPr>
  </w:style>
  <w:style w:type="character" w:customStyle="1" w:styleId="Char1">
    <w:name w:val="批注框文本 Char"/>
    <w:basedOn w:val="a0"/>
    <w:link w:val="a6"/>
    <w:uiPriority w:val="99"/>
    <w:semiHidden/>
    <w:rPr>
      <w:sz w:val="18"/>
      <w:szCs w:val="18"/>
    </w:rPr>
  </w:style>
  <w:style w:type="character" w:customStyle="1" w:styleId="1Char">
    <w:name w:val="标题 1 Char"/>
    <w:basedOn w:val="a0"/>
    <w:link w:val="1"/>
    <w:uiPriority w:val="9"/>
    <w:rPr>
      <w:b/>
      <w:bCs/>
      <w:kern w:val="44"/>
      <w:sz w:val="44"/>
      <w:szCs w:val="44"/>
    </w:rPr>
  </w:style>
  <w:style w:type="paragraph" w:styleId="2">
    <w:name w:val="toc 2"/>
    <w:basedOn w:val="a"/>
    <w:next w:val="a"/>
    <w:uiPriority w:val="39"/>
    <w:unhideWhenUsed/>
    <w:qFormat/>
    <w:pPr>
      <w:widowControl/>
      <w:spacing w:after="100" w:line="276" w:lineRule="auto"/>
      <w:ind w:left="220"/>
      <w:jc w:val="left"/>
    </w:pPr>
    <w:rPr>
      <w:rFonts w:ascii="Calibri" w:hAnsi="Calibri"/>
      <w:kern w:val="0"/>
      <w:sz w:val="22"/>
    </w:rPr>
  </w:style>
  <w:style w:type="paragraph" w:styleId="a4">
    <w:name w:val="footer"/>
    <w:basedOn w:val="a"/>
    <w:link w:val="Char"/>
    <w:uiPriority w:val="99"/>
    <w:unhideWhenUsed/>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3">
    <w:name w:val="toc 3"/>
    <w:basedOn w:val="a"/>
    <w:next w:val="a"/>
    <w:uiPriority w:val="39"/>
    <w:unhideWhenUsed/>
    <w:qFormat/>
    <w:pPr>
      <w:widowControl/>
      <w:spacing w:after="100" w:line="276" w:lineRule="auto"/>
      <w:ind w:left="440"/>
      <w:jc w:val="left"/>
    </w:pPr>
    <w:rPr>
      <w:rFonts w:ascii="Calibri" w:hAnsi="Calibri"/>
      <w:kern w:val="0"/>
      <w:sz w:val="22"/>
    </w:rPr>
  </w:style>
  <w:style w:type="paragraph" w:styleId="a6">
    <w:name w:val="Balloon Text"/>
    <w:basedOn w:val="a"/>
    <w:link w:val="Char1"/>
    <w:uiPriority w:val="99"/>
    <w:unhideWhenUsed/>
    <w:rPr>
      <w:sz w:val="18"/>
      <w:szCs w:val="18"/>
    </w:rPr>
  </w:style>
  <w:style w:type="paragraph" w:styleId="10">
    <w:name w:val="toc 1"/>
    <w:basedOn w:val="a"/>
    <w:next w:val="a"/>
    <w:uiPriority w:val="39"/>
    <w:unhideWhenUsed/>
    <w:qFormat/>
    <w:pPr>
      <w:widowControl/>
      <w:spacing w:after="100" w:line="276" w:lineRule="auto"/>
      <w:jc w:val="left"/>
    </w:pPr>
    <w:rPr>
      <w:rFonts w:ascii="Calibri" w:hAnsi="Calibri"/>
      <w:kern w:val="0"/>
      <w:sz w:val="22"/>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styleId="a7">
    <w:name w:val="List Paragraph"/>
    <w:basedOn w:val="a"/>
    <w:uiPriority w:val="34"/>
    <w:qFormat/>
    <w:pPr>
      <w:ind w:firstLineChars="200" w:firstLine="420"/>
    </w:pPr>
  </w:style>
  <w:style w:type="table" w:customStyle="1" w:styleId="-11">
    <w:name w:val="浅色列表 - 强调文字颜色 11"/>
    <w:basedOn w:val="a1"/>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styleId="a8">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浅色列表 - 强调文字颜色 41"/>
    <w:basedOn w:val="a1"/>
    <w:uiPriority w:val="61"/>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tblStylePr w:type="band1Horz">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style>
  <w:style w:type="table" w:customStyle="1" w:styleId="-51">
    <w:name w:val="浅色网格 - 强调文字颜色 51"/>
    <w:basedOn w:val="a1"/>
    <w:uiPriority w:val="6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eastAsia="Courie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l2br w:val="nil"/>
          <w:tr2bl w:val="nil"/>
        </w:tcBorders>
      </w:tcPr>
    </w:tblStylePr>
    <w:tblStylePr w:type="lastRow">
      <w:pPr>
        <w:spacing w:before="0" w:after="0" w:line="240" w:lineRule="auto"/>
      </w:pPr>
      <w:rPr>
        <w:rFonts w:eastAsia="Courie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l2br w:val="nil"/>
          <w:tr2bl w:val="nil"/>
        </w:tcBorders>
      </w:tcPr>
    </w:tblStylePr>
    <w:tblStylePr w:type="firstCol">
      <w:rPr>
        <w:rFonts w:eastAsia="Courier" w:cs="Times New Roman"/>
        <w:b/>
        <w:bCs/>
      </w:rPr>
    </w:tblStylePr>
    <w:tblStylePr w:type="lastCol">
      <w:rPr>
        <w:rFonts w:eastAsia="Courier"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tcPr>
    </w:tblStylePr>
  </w:style>
  <w:style w:type="table" w:customStyle="1" w:styleId="-31">
    <w:name w:val="浅色列表 - 强调文字颜色 31"/>
    <w:basedOn w:val="a1"/>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10">
    <w:name w:val="浅色底纹 - 强调文字颜色 11"/>
    <w:basedOn w:val="a1"/>
    <w:uiPriority w:val="60"/>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
    <w:name w:val="浅色底纹1"/>
    <w:basedOn w:val="a1"/>
    <w:uiPriority w:val="60"/>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hart" Target="charts/chart7.xml"/><Relationship Id="rId39" Type="http://schemas.openxmlformats.org/officeDocument/2006/relationships/chart" Target="charts/chart16.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oleObject" Target="embeddings/Microsoft_Office_Excel_97-2003____1.xls"/><Relationship Id="rId41" Type="http://schemas.openxmlformats.org/officeDocument/2006/relationships/chart" Target="charts/chart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image" Target="media/image6.png"/><Relationship Id="rId36" Type="http://schemas.openxmlformats.org/officeDocument/2006/relationships/chart" Target="charts/chart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oleObject" Target="embeddings/Microsoft_Office_Excel_97-2003____2.xls"/><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7.png"/><Relationship Id="rId35" Type="http://schemas.openxmlformats.org/officeDocument/2006/relationships/chart" Target="charts/chart12.xml"/><Relationship Id="rId43" Type="http://schemas.openxmlformats.org/officeDocument/2006/relationships/footer" Target="footer7.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7605;&#19994;&#29983;&#20154;&#25968;\2013-2015&#24180;&#27605;&#19994;&#29983;&#20154;&#25968;.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19981;&#21516;&#24615;&#21035;&#27605;&#19994;&#29983;&#30340;&#27605;&#19994;&#27969;&#215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19981;&#21516;&#29983;&#28304;&#22320;&#21306;&#27605;&#19994;&#29983;&#30340;&#27605;&#19994;&#27969;&#215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7605;&#19994;&#29983;&#23601;&#19994;&#21333;&#20301;&#31867;&#2241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34892;&#19994;&#31867;&#2241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36817;&#19977;&#24180;&#23601;&#19994;&#29575;&#32479;&#35745;&#3492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36817;&#19977;&#24180;&#23601;&#19994;&#27969;&#2152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9992;&#20154;&#21333;&#20301;&#23545;&#27605;&#19994;&#29983;&#24635;&#20307;&#35780;&#2021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65288;&#19977;&#65289;&#29992;&#20154;&#21333;&#20301;&#23545;&#27605;&#19994;&#29983;&#19987;&#19994;&#25216;&#33021;&#30340;&#35748;&#21487;&#2423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3601;&#19994;&#24037;&#20316;&#28385;&#24847;&#24230;&#35843;&#2659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1508;&#23398;&#37096;&#27605;&#19994;&#29983;&#20998;&#24067;&#24773;&#2091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015&#23626;&#27605;&#19994;&#29983;&#30007;&#22899;&#29983;&#24615;&#21035;&#27604;&#2036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1508;&#23398;&#37096;&#23601;&#19994;&#29575;&#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1508;&#23398;&#37096;&#30007;&#22899;&#23601;&#19994;&#2957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7605;&#19994;&#29983;&#24635;&#20307;&#27605;&#19994;&#27969;&#215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1508;&#23398;&#37096;&#21333;&#20301;&#23601;&#19994;&#2957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1508;&#23398;&#37096;&#21319;&#23398;&#20986;&#22269;&#2957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6410;&#23601;&#19994;&#29575;&#24773;&#209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'[2013-2015年毕业生人数.xls]Sheet1'!$A$3</c:f>
              <c:strCache>
                <c:ptCount val="1"/>
                <c:pt idx="0">
                  <c:v>毕业生人数</c:v>
                </c:pt>
              </c:strCache>
            </c:strRef>
          </c:tx>
          <c:spPr>
            <a:solidFill>
              <a:srgbClr val="4F81BD"/>
            </a:solidFill>
            <a:ln>
              <a:noFill/>
            </a:ln>
            <a:effectLst/>
          </c:spPr>
          <c:dLbls>
            <c:spPr>
              <a:noFill/>
              <a:ln>
                <a:noFill/>
              </a:ln>
              <a:effectLst/>
            </c:spPr>
            <c:txPr>
              <a:bodyPr rot="0" spcFirstLastPara="0" vertOverflow="ellipsis" horzOverflow="overflow" vert="horz" wrap="square" anchor="ctr" anchorCtr="1"/>
              <a:lstStyle/>
              <a:p>
                <a:pPr>
                  <a:defRPr sz="1000" b="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noFill/>
                    <a:ln w="9525" cap="flat" cmpd="sng" algn="ctr">
                      <a:solidFill>
                        <a:srgbClr val="000000"/>
                      </a:solidFill>
                      <a:prstDash val="solid"/>
                    </a:ln>
                    <a:effectLst/>
                  </c:spPr>
                </c15:leaderLines>
              </c:ext>
            </c:extLst>
          </c:dLbls>
          <c:cat>
            <c:numRef>
              <c:f>'[2013-2015年毕业生人数.xls]Sheet1'!$B$2:$D$2</c:f>
              <c:numCache>
                <c:formatCode>General</c:formatCode>
                <c:ptCount val="3"/>
                <c:pt idx="0">
                  <c:v>2013</c:v>
                </c:pt>
                <c:pt idx="1">
                  <c:v>2014</c:v>
                </c:pt>
                <c:pt idx="2">
                  <c:v>2015</c:v>
                </c:pt>
              </c:numCache>
            </c:numRef>
          </c:cat>
          <c:val>
            <c:numRef>
              <c:f>'[2013-2015年毕业生人数.xls]Sheet1'!$B$3:$D$3</c:f>
              <c:numCache>
                <c:formatCode>General</c:formatCode>
                <c:ptCount val="3"/>
                <c:pt idx="0">
                  <c:v>1758</c:v>
                </c:pt>
                <c:pt idx="1">
                  <c:v>1964</c:v>
                </c:pt>
                <c:pt idx="2">
                  <c:v>1975</c:v>
                </c:pt>
              </c:numCache>
            </c:numRef>
          </c:val>
        </c:ser>
        <c:dLbls>
          <c:showVal val="1"/>
        </c:dLbls>
        <c:gapWidth val="219"/>
        <c:overlap val="-27"/>
        <c:axId val="147999360"/>
        <c:axId val="148013440"/>
      </c:barChart>
      <c:catAx>
        <c:axId val="147999360"/>
        <c:scaling>
          <c:orientation val="minMax"/>
        </c:scaling>
        <c:axPos val="b"/>
        <c:numFmt formatCode="General" sourceLinked="1"/>
        <c:majorTickMark val="in"/>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48013440"/>
        <c:crosses val="autoZero"/>
        <c:auto val="1"/>
        <c:lblAlgn val="ctr"/>
        <c:lblOffset val="100"/>
        <c:tickMarkSkip val="1"/>
      </c:catAx>
      <c:valAx>
        <c:axId val="148013440"/>
        <c:scaling>
          <c:orientation val="minMax"/>
        </c:scaling>
        <c:axPos val="l"/>
        <c:majorGridlines>
          <c:spPr>
            <a:ln w="9525" cap="flat" cmpd="sng" algn="ctr">
              <a:solidFill>
                <a:srgbClr val="D9D9D9">
                  <a:lumMod val="15000"/>
                  <a:lumOff val="85000"/>
                </a:srgbClr>
              </a:solidFill>
              <a:prstDash val="solid"/>
              <a:round/>
            </a:ln>
            <a:effectLst/>
          </c:spPr>
        </c:majorGridlines>
        <c:numFmt formatCode="General" sourceLinked="1"/>
        <c:majorTickMark val="in"/>
        <c:tickLblPos val="nextTo"/>
        <c:spPr>
          <a:noFill/>
          <a:ln w="9525">
            <a:noFill/>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47999360"/>
        <c:crosses val="autoZero"/>
        <c:crossBetween val="between"/>
      </c:valAx>
      <c:spPr>
        <a:noFill/>
        <a:ln>
          <a:noFill/>
        </a:ln>
        <a:effectLst/>
      </c:spPr>
    </c:plotArea>
    <c:legend>
      <c:legendPos val="r"/>
      <c:spPr>
        <a:noFill/>
        <a:ln>
          <a:noFill/>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legend>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[不同性别毕业生的毕业流向.xls]Sheet1!$B$4</c:f>
              <c:strCache>
                <c:ptCount val="1"/>
                <c:pt idx="0">
                  <c:v>女</c:v>
                </c:pt>
              </c:strCache>
            </c:strRef>
          </c:tx>
          <c:spPr>
            <a:solidFill>
              <a:srgbClr val="4F81BD"/>
            </a:solidFill>
            <a:ln>
              <a:noFill/>
            </a:ln>
            <a:effectLst/>
          </c:spPr>
          <c:cat>
            <c:strRef>
              <c:f>[不同性别毕业生的毕业流向.xls]Sheet1!$C$3:$F$3</c:f>
              <c:strCache>
                <c:ptCount val="4"/>
                <c:pt idx="0">
                  <c:v>单位就业率</c:v>
                </c:pt>
                <c:pt idx="1">
                  <c:v>升学出国率</c:v>
                </c:pt>
                <c:pt idx="2">
                  <c:v>灵活就业率</c:v>
                </c:pt>
                <c:pt idx="3">
                  <c:v>未就业率</c:v>
                </c:pt>
              </c:strCache>
            </c:strRef>
          </c:cat>
          <c:val>
            <c:numRef>
              <c:f>[不同性别毕业生的毕业流向.xls]Sheet1!$C$4:$F$4</c:f>
              <c:numCache>
                <c:formatCode>0.00%</c:formatCode>
                <c:ptCount val="4"/>
                <c:pt idx="0">
                  <c:v>0.92530000000000001</c:v>
                </c:pt>
                <c:pt idx="1">
                  <c:v>3.8200000000000005E-2</c:v>
                </c:pt>
                <c:pt idx="2">
                  <c:v>2.0800000000000006E-2</c:v>
                </c:pt>
                <c:pt idx="3">
                  <c:v>9.1000000000000004E-3</c:v>
                </c:pt>
              </c:numCache>
            </c:numRef>
          </c:val>
        </c:ser>
        <c:ser>
          <c:idx val="1"/>
          <c:order val="1"/>
          <c:tx>
            <c:strRef>
              <c:f>[不同性别毕业生的毕业流向.xls]Sheet1!$B$5</c:f>
              <c:strCache>
                <c:ptCount val="1"/>
                <c:pt idx="0">
                  <c:v>男</c:v>
                </c:pt>
              </c:strCache>
            </c:strRef>
          </c:tx>
          <c:spPr>
            <a:solidFill>
              <a:srgbClr val="C0504D"/>
            </a:solidFill>
            <a:ln>
              <a:noFill/>
            </a:ln>
            <a:effectLst/>
          </c:spPr>
          <c:cat>
            <c:strRef>
              <c:f>[不同性别毕业生的毕业流向.xls]Sheet1!$C$3:$F$3</c:f>
              <c:strCache>
                <c:ptCount val="4"/>
                <c:pt idx="0">
                  <c:v>单位就业率</c:v>
                </c:pt>
                <c:pt idx="1">
                  <c:v>升学出国率</c:v>
                </c:pt>
                <c:pt idx="2">
                  <c:v>灵活就业率</c:v>
                </c:pt>
                <c:pt idx="3">
                  <c:v>未就业率</c:v>
                </c:pt>
              </c:strCache>
            </c:strRef>
          </c:cat>
          <c:val>
            <c:numRef>
              <c:f>[不同性别毕业生的毕业流向.xls]Sheet1!$C$5:$F$5</c:f>
              <c:numCache>
                <c:formatCode>0.00%</c:formatCode>
                <c:ptCount val="4"/>
                <c:pt idx="0">
                  <c:v>0.88980000000000004</c:v>
                </c:pt>
                <c:pt idx="1">
                  <c:v>3.6300000000000006E-2</c:v>
                </c:pt>
                <c:pt idx="2">
                  <c:v>3.3800000000000011E-2</c:v>
                </c:pt>
                <c:pt idx="3">
                  <c:v>2.3300000000000005E-2</c:v>
                </c:pt>
              </c:numCache>
            </c:numRef>
          </c:val>
        </c:ser>
        <c:axId val="153451520"/>
        <c:axId val="153465600"/>
      </c:barChart>
      <c:catAx>
        <c:axId val="153451520"/>
        <c:scaling>
          <c:orientation val="minMax"/>
        </c:scaling>
        <c:axPos val="b"/>
        <c:numFmt formatCode="General" sourceLinked="1"/>
        <c:majorTickMark val="none"/>
        <c:tickLblPos val="nextTo"/>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465600"/>
        <c:crosses val="autoZero"/>
        <c:auto val="1"/>
        <c:lblAlgn val="ctr"/>
        <c:lblOffset val="100"/>
        <c:tickMarkSkip val="1"/>
      </c:catAx>
      <c:valAx>
        <c:axId val="153465600"/>
        <c:scaling>
          <c:orientation val="minMax"/>
        </c:scaling>
        <c:axPos val="l"/>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9525">
            <a:noFill/>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451520"/>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[不同生源地区毕业生的毕业流向.xls]Sheet1!$C$4</c:f>
              <c:strCache>
                <c:ptCount val="1"/>
                <c:pt idx="0">
                  <c:v>江苏省生源</c:v>
                </c:pt>
              </c:strCache>
            </c:strRef>
          </c:tx>
          <c:spPr>
            <a:solidFill>
              <a:srgbClr val="4F81BD"/>
            </a:solidFill>
            <a:ln>
              <a:noFill/>
            </a:ln>
            <a:effectLst/>
          </c:spPr>
          <c:cat>
            <c:strRef>
              <c:f>[不同生源地区毕业生的毕业流向.xls]Sheet1!$D$3:$G$3</c:f>
              <c:strCache>
                <c:ptCount val="4"/>
                <c:pt idx="0">
                  <c:v>单位就业率</c:v>
                </c:pt>
                <c:pt idx="1">
                  <c:v>升学出国率</c:v>
                </c:pt>
                <c:pt idx="2">
                  <c:v>灵活就业率</c:v>
                </c:pt>
                <c:pt idx="3">
                  <c:v>未就业率</c:v>
                </c:pt>
              </c:strCache>
            </c:strRef>
          </c:cat>
          <c:val>
            <c:numRef>
              <c:f>[不同生源地区毕业生的毕业流向.xls]Sheet1!$D$4:$G$4</c:f>
              <c:numCache>
                <c:formatCode>0.00%</c:formatCode>
                <c:ptCount val="4"/>
                <c:pt idx="0">
                  <c:v>0.91339999999999999</c:v>
                </c:pt>
                <c:pt idx="1">
                  <c:v>4.0800000000000017E-2</c:v>
                </c:pt>
                <c:pt idx="2">
                  <c:v>2.4600000000000007E-2</c:v>
                </c:pt>
                <c:pt idx="3">
                  <c:v>2.1200000000000007E-2</c:v>
                </c:pt>
              </c:numCache>
            </c:numRef>
          </c:val>
        </c:ser>
        <c:ser>
          <c:idx val="1"/>
          <c:order val="1"/>
          <c:tx>
            <c:strRef>
              <c:f>[不同生源地区毕业生的毕业流向.xls]Sheet1!$C$5</c:f>
              <c:strCache>
                <c:ptCount val="1"/>
                <c:pt idx="0">
                  <c:v>其他省市生源</c:v>
                </c:pt>
              </c:strCache>
            </c:strRef>
          </c:tx>
          <c:spPr>
            <a:solidFill>
              <a:srgbClr val="C0504D"/>
            </a:solidFill>
            <a:ln>
              <a:noFill/>
            </a:ln>
            <a:effectLst/>
          </c:spPr>
          <c:cat>
            <c:strRef>
              <c:f>[不同生源地区毕业生的毕业流向.xls]Sheet1!$D$3:$G$3</c:f>
              <c:strCache>
                <c:ptCount val="4"/>
                <c:pt idx="0">
                  <c:v>单位就业率</c:v>
                </c:pt>
                <c:pt idx="1">
                  <c:v>升学出国率</c:v>
                </c:pt>
                <c:pt idx="2">
                  <c:v>灵活就业率</c:v>
                </c:pt>
                <c:pt idx="3">
                  <c:v>未就业率</c:v>
                </c:pt>
              </c:strCache>
            </c:strRef>
          </c:cat>
          <c:val>
            <c:numRef>
              <c:f>[不同生源地区毕业生的毕业流向.xls]Sheet1!$D$5:$G$5</c:f>
              <c:numCache>
                <c:formatCode>0.00%</c:formatCode>
                <c:ptCount val="4"/>
                <c:pt idx="0">
                  <c:v>0.9367000000000002</c:v>
                </c:pt>
                <c:pt idx="1">
                  <c:v>1.0500000000000004E-2</c:v>
                </c:pt>
                <c:pt idx="2">
                  <c:v>3.7000000000000012E-2</c:v>
                </c:pt>
                <c:pt idx="3">
                  <c:v>1.5800000000000005E-2</c:v>
                </c:pt>
              </c:numCache>
            </c:numRef>
          </c:val>
        </c:ser>
        <c:gapWidth val="182"/>
        <c:axId val="153569920"/>
        <c:axId val="153575808"/>
      </c:barChart>
      <c:catAx>
        <c:axId val="153569920"/>
        <c:scaling>
          <c:orientation val="minMax"/>
        </c:scaling>
        <c:axPos val="l"/>
        <c:numFmt formatCode="General" sourceLinked="1"/>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575808"/>
        <c:crosses val="autoZero"/>
        <c:auto val="1"/>
        <c:lblAlgn val="ctr"/>
        <c:lblOffset val="100"/>
        <c:tickMarkSkip val="1"/>
      </c:catAx>
      <c:valAx>
        <c:axId val="153575808"/>
        <c:scaling>
          <c:orientation val="minMax"/>
        </c:scaling>
        <c:axPos val="b"/>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9525">
            <a:noFill/>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569920"/>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0147222222222205"/>
          <c:y val="5.0925925925925902E-2"/>
          <c:w val="0.782555555555556"/>
          <c:h val="0.89814814814814803"/>
        </c:manualLayout>
      </c:layout>
      <c:barChart>
        <c:barDir val="bar"/>
        <c:grouping val="clustered"/>
        <c:ser>
          <c:idx val="0"/>
          <c:order val="0"/>
          <c:spPr>
            <a:solidFill>
              <a:srgbClr val="4F81BD"/>
            </a:solidFill>
            <a:ln>
              <a:noFill/>
            </a:ln>
            <a:effectLst/>
          </c:spPr>
          <c:dLbls>
            <c:txPr>
              <a:bodyPr rot="0" spcFirstLastPara="0" vertOverflow="ellipsis" horzOverflow="overflow" vert="horz" wrap="square" anchor="ctr" anchorCtr="1"/>
              <a:lstStyle/>
              <a:p>
                <a:pPr>
                  <a:defRPr sz="900" b="0" kern="120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spPr>
                    <a:noFill/>
                    <a:ln w="9525" cap="flat" cmpd="sng" algn="ctr">
                      <a:solidFill>
                        <a:srgbClr val="000000"/>
                      </a:solidFill>
                      <a:prstDash val="solid"/>
                    </a:ln>
                    <a:effectLst/>
                  </c:spPr>
                </c15:leaderLines>
              </c:ext>
            </c:extLst>
          </c:dLbls>
          <c:cat>
            <c:strRef>
              <c:f>[毕业生就业单位类型.xls]Sheet1!$I$6:$I$16</c:f>
              <c:strCache>
                <c:ptCount val="11"/>
                <c:pt idx="0">
                  <c:v>其他企业</c:v>
                </c:pt>
                <c:pt idx="1">
                  <c:v>医疗卫生单位</c:v>
                </c:pt>
                <c:pt idx="2">
                  <c:v>其他事业单位</c:v>
                </c:pt>
                <c:pt idx="3">
                  <c:v>三资企业</c:v>
                </c:pt>
                <c:pt idx="4">
                  <c:v>国有企业</c:v>
                </c:pt>
                <c:pt idx="5">
                  <c:v>基础项目</c:v>
                </c:pt>
                <c:pt idx="6">
                  <c:v>艰苦企业</c:v>
                </c:pt>
                <c:pt idx="7">
                  <c:v>艰苦事业</c:v>
                </c:pt>
                <c:pt idx="8">
                  <c:v>机关</c:v>
                </c:pt>
                <c:pt idx="9">
                  <c:v>中初等教育</c:v>
                </c:pt>
                <c:pt idx="10">
                  <c:v>高等教育</c:v>
                </c:pt>
              </c:strCache>
            </c:strRef>
          </c:cat>
          <c:val>
            <c:numRef>
              <c:f>[毕业生就业单位类型.xls]Sheet1!$J$6:$J$16</c:f>
              <c:numCache>
                <c:formatCode>0.00%</c:formatCode>
                <c:ptCount val="11"/>
                <c:pt idx="0">
                  <c:v>0.62057522123893805</c:v>
                </c:pt>
                <c:pt idx="1">
                  <c:v>0.25442477876106212</c:v>
                </c:pt>
                <c:pt idx="2">
                  <c:v>2.212389380530971E-2</c:v>
                </c:pt>
                <c:pt idx="3">
                  <c:v>2.9867256637168112E-2</c:v>
                </c:pt>
                <c:pt idx="4">
                  <c:v>1.1615044247787604E-2</c:v>
                </c:pt>
                <c:pt idx="5">
                  <c:v>7.7433628318584122E-3</c:v>
                </c:pt>
                <c:pt idx="6">
                  <c:v>6.0840707964601812E-3</c:v>
                </c:pt>
                <c:pt idx="7">
                  <c:v>6.0840707964601812E-3</c:v>
                </c:pt>
                <c:pt idx="8">
                  <c:v>6.0840707964601812E-3</c:v>
                </c:pt>
                <c:pt idx="9">
                  <c:v>1.1061946902654898E-2</c:v>
                </c:pt>
                <c:pt idx="10">
                  <c:v>5.5309734513274309E-3</c:v>
                </c:pt>
              </c:numCache>
            </c:numRef>
          </c:val>
        </c:ser>
        <c:gapWidth val="182"/>
        <c:axId val="155522176"/>
        <c:axId val="155523712"/>
      </c:barChart>
      <c:catAx>
        <c:axId val="155522176"/>
        <c:scaling>
          <c:orientation val="minMax"/>
        </c:scaling>
        <c:axPos val="l"/>
        <c:numFmt formatCode="General" sourceLinked="1"/>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5523712"/>
        <c:crosses val="autoZero"/>
        <c:auto val="1"/>
        <c:lblAlgn val="ctr"/>
        <c:lblOffset val="100"/>
        <c:tickMarkSkip val="1"/>
      </c:catAx>
      <c:valAx>
        <c:axId val="155523712"/>
        <c:scaling>
          <c:orientation val="minMax"/>
        </c:scaling>
        <c:delete val="1"/>
        <c:axPos val="b"/>
        <c:numFmt formatCode="0.00%" sourceLinked="1"/>
        <c:tickLblPos val="nextTo"/>
        <c:crossAx val="155522176"/>
        <c:crosses val="autoZero"/>
        <c:crossBetween val="between"/>
      </c:valAx>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[行业类型.xls]Sheet1!$F$3</c:f>
              <c:strCache>
                <c:ptCount val="1"/>
                <c:pt idx="0">
                  <c:v>比例</c:v>
                </c:pt>
              </c:strCache>
            </c:strRef>
          </c:tx>
          <c:spPr>
            <a:solidFill>
              <a:srgbClr val="4F81BD"/>
            </a:solidFill>
            <a:ln>
              <a:noFill/>
            </a:ln>
            <a:effectLst/>
          </c:spPr>
          <c:dLbls>
            <c:spPr>
              <a:noFill/>
              <a:ln>
                <a:noFill/>
              </a:ln>
              <a:effectLst/>
            </c:spPr>
            <c:txPr>
              <a:bodyPr rot="0" spcFirstLastPara="0" vertOverflow="ellipsis" horzOverflow="overflow" vert="horz" wrap="square" anchor="ctr" anchorCtr="1"/>
              <a:lstStyle/>
              <a:p>
                <a:pPr>
                  <a:defRPr sz="900" kern="120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noFill/>
                    <a:ln w="9525" cap="flat" cmpd="sng" algn="ctr">
                      <a:solidFill>
                        <a:srgbClr val="A6A6A6">
                          <a:lumMod val="35000"/>
                          <a:lumOff val="65000"/>
                        </a:srgbClr>
                      </a:solidFill>
                      <a:round/>
                    </a:ln>
                    <a:effectLst/>
                  </c:spPr>
                </c15:leaderLines>
              </c:ext>
            </c:extLst>
          </c:dLbls>
          <c:cat>
            <c:strRef>
              <c:f>[行业类型.xls]Sheet1!$E$4:$E$21</c:f>
              <c:strCache>
                <c:ptCount val="18"/>
                <c:pt idx="0">
                  <c:v>农、林、牧、渔业</c:v>
                </c:pt>
                <c:pt idx="1">
                  <c:v>科学研究和技术服务业</c:v>
                </c:pt>
                <c:pt idx="2">
                  <c:v>水利、环境和公共设施管理业</c:v>
                </c:pt>
                <c:pt idx="3">
                  <c:v>房地产业</c:v>
                </c:pt>
                <c:pt idx="4">
                  <c:v>电力、热力、燃气及水生产和供应业</c:v>
                </c:pt>
                <c:pt idx="5">
                  <c:v>住宿和餐饮业</c:v>
                </c:pt>
                <c:pt idx="6">
                  <c:v>租赁和商务服务业</c:v>
                </c:pt>
                <c:pt idx="7">
                  <c:v>教育</c:v>
                </c:pt>
                <c:pt idx="8">
                  <c:v>交通运输、仓储和邮政业</c:v>
                </c:pt>
                <c:pt idx="9">
                  <c:v>公共管理、社会保障和社会组织</c:v>
                </c:pt>
                <c:pt idx="10">
                  <c:v>居民服务、修理和其他服务业</c:v>
                </c:pt>
                <c:pt idx="11">
                  <c:v>金融业</c:v>
                </c:pt>
                <c:pt idx="12">
                  <c:v>建筑业</c:v>
                </c:pt>
                <c:pt idx="13">
                  <c:v>文化、体育和娱乐业</c:v>
                </c:pt>
                <c:pt idx="14">
                  <c:v>信息传输、软件和信息技术服务业</c:v>
                </c:pt>
                <c:pt idx="15">
                  <c:v>批发和零售业</c:v>
                </c:pt>
                <c:pt idx="16">
                  <c:v>制造业</c:v>
                </c:pt>
                <c:pt idx="17">
                  <c:v>卫生和社会工作</c:v>
                </c:pt>
              </c:strCache>
            </c:strRef>
          </c:cat>
          <c:val>
            <c:numRef>
              <c:f>[行业类型.xls]Sheet1!$F$4:$F$21</c:f>
              <c:numCache>
                <c:formatCode>0.00%</c:formatCode>
                <c:ptCount val="18"/>
                <c:pt idx="0">
                  <c:v>3.3185840707964614E-3</c:v>
                </c:pt>
                <c:pt idx="1">
                  <c:v>7.1902654867256619E-3</c:v>
                </c:pt>
                <c:pt idx="2">
                  <c:v>8.8495575221238972E-3</c:v>
                </c:pt>
                <c:pt idx="3">
                  <c:v>1.1061946902654898E-2</c:v>
                </c:pt>
                <c:pt idx="4">
                  <c:v>1.4380530973451299E-2</c:v>
                </c:pt>
                <c:pt idx="5">
                  <c:v>1.7146017699115005E-2</c:v>
                </c:pt>
                <c:pt idx="6">
                  <c:v>1.7146017699115005E-2</c:v>
                </c:pt>
                <c:pt idx="7">
                  <c:v>2.1017699115044211E-2</c:v>
                </c:pt>
                <c:pt idx="8">
                  <c:v>2.4889380530973507E-2</c:v>
                </c:pt>
                <c:pt idx="9">
                  <c:v>2.87610619469027E-2</c:v>
                </c:pt>
                <c:pt idx="10">
                  <c:v>2.9314159292035395E-2</c:v>
                </c:pt>
                <c:pt idx="11">
                  <c:v>4.6460176991150397E-2</c:v>
                </c:pt>
                <c:pt idx="12">
                  <c:v>5.0331858407079599E-2</c:v>
                </c:pt>
                <c:pt idx="13">
                  <c:v>5.5309734513274304E-2</c:v>
                </c:pt>
                <c:pt idx="14">
                  <c:v>6.85840707964602E-2</c:v>
                </c:pt>
                <c:pt idx="15">
                  <c:v>7.3008849557522099E-2</c:v>
                </c:pt>
                <c:pt idx="16">
                  <c:v>0.2737831858407081</c:v>
                </c:pt>
                <c:pt idx="17">
                  <c:v>0.28042035398230114</c:v>
                </c:pt>
              </c:numCache>
            </c:numRef>
          </c:val>
        </c:ser>
        <c:gapWidth val="182"/>
        <c:axId val="155535232"/>
        <c:axId val="155536768"/>
      </c:barChart>
      <c:catAx>
        <c:axId val="155535232"/>
        <c:scaling>
          <c:orientation val="minMax"/>
        </c:scaling>
        <c:axPos val="l"/>
        <c:numFmt formatCode="General" sourceLinked="1"/>
        <c:majorTickMark val="none"/>
        <c:tickLblPos val="nextTo"/>
        <c:spPr>
          <a:noFill/>
          <a:ln w="9525" cap="flat" cmpd="sng" algn="ctr">
            <a:solidFill>
              <a:srgbClr val="D9D9D9">
                <a:lumMod val="15000"/>
                <a:lumOff val="85000"/>
              </a:srgbClr>
            </a:solidFill>
            <a:round/>
          </a:ln>
          <a:effectLst/>
        </c:spPr>
        <c:txPr>
          <a:bodyPr rot="-6000000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5536768"/>
        <c:crosses val="autoZero"/>
        <c:auto val="1"/>
        <c:lblAlgn val="ctr"/>
        <c:lblOffset val="100"/>
        <c:tickMarkSkip val="1"/>
      </c:catAx>
      <c:valAx>
        <c:axId val="155536768"/>
        <c:scaling>
          <c:orientation val="minMax"/>
        </c:scaling>
        <c:delete val="1"/>
        <c:axPos val="b"/>
        <c:majorGridlines>
          <c:spPr>
            <a:ln w="9525" cap="flat" cmpd="sng" algn="ctr">
              <a:solidFill>
                <a:srgbClr val="D9D9D9">
                  <a:lumMod val="15000"/>
                  <a:lumOff val="85000"/>
                </a:srgbClr>
              </a:solidFill>
              <a:round/>
            </a:ln>
            <a:effectLst/>
          </c:spPr>
        </c:majorGridlines>
        <c:numFmt formatCode="0.00%" sourceLinked="1"/>
        <c:majorTickMark val="none"/>
        <c:tickLblPos val="nextTo"/>
        <c:crossAx val="155535232"/>
        <c:crosses val="autoZero"/>
        <c:crossBetween val="between"/>
      </c:valAx>
      <c:spPr>
        <a:noFill/>
        <a:ln>
          <a:noFill/>
        </a:ln>
        <a:effectLst/>
      </c:spPr>
    </c:plotArea>
    <c:plotVisOnly val="1"/>
    <c:dispBlanksAs val="gap"/>
  </c:chart>
  <c:spPr>
    <a:solidFill>
      <a:srgbClr val="FFFFFF"/>
    </a:solid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[近三年就业率统计表.xls]Sheet1!$B$5</c:f>
              <c:strCache>
                <c:ptCount val="1"/>
                <c:pt idx="0">
                  <c:v>初次就业率</c:v>
                </c:pt>
              </c:strCache>
            </c:strRef>
          </c:tx>
          <c:spPr>
            <a:ln w="28575" cap="rnd">
              <a:solidFill>
                <a:srgbClr val="4F81BD"/>
              </a:solidFill>
              <a:prstDash val="solid"/>
              <a:round/>
            </a:ln>
            <a:effectLst/>
          </c:spPr>
          <c:marker>
            <c:symbol val="circle"/>
            <c:size val="5"/>
            <c:spPr>
              <a:solidFill>
                <a:srgbClr val="4F81BD"/>
              </a:solidFill>
              <a:ln w="9525">
                <a:solidFill>
                  <a:srgbClr val="4F81BD"/>
                </a:solidFill>
              </a:ln>
              <a:effectLst/>
            </c:spPr>
          </c:marker>
          <c:cat>
            <c:strRef>
              <c:f>[近三年就业率统计表.xls]Sheet1!$C$4:$E$4</c:f>
              <c:strCache>
                <c:ptCount val="3"/>
                <c:pt idx="0">
                  <c:v>2013年</c:v>
                </c:pt>
                <c:pt idx="1">
                  <c:v>2014年</c:v>
                </c:pt>
                <c:pt idx="2">
                  <c:v>2015年</c:v>
                </c:pt>
              </c:strCache>
            </c:strRef>
          </c:cat>
          <c:val>
            <c:numRef>
              <c:f>[近三年就业率统计表.xls]Sheet1!$C$5:$E$5</c:f>
              <c:numCache>
                <c:formatCode>0.00%</c:formatCode>
                <c:ptCount val="3"/>
                <c:pt idx="0">
                  <c:v>0.8248000000000002</c:v>
                </c:pt>
                <c:pt idx="1">
                  <c:v>0.8742000000000002</c:v>
                </c:pt>
                <c:pt idx="2">
                  <c:v>0.87850000000000017</c:v>
                </c:pt>
              </c:numCache>
            </c:numRef>
          </c:val>
        </c:ser>
        <c:ser>
          <c:idx val="1"/>
          <c:order val="1"/>
          <c:tx>
            <c:strRef>
              <c:f>[近三年就业率统计表.xls]Sheet1!$B$6</c:f>
              <c:strCache>
                <c:ptCount val="1"/>
                <c:pt idx="0">
                  <c:v>年终就业率</c:v>
                </c:pt>
              </c:strCache>
            </c:strRef>
          </c:tx>
          <c:spPr>
            <a:ln w="28575" cap="rnd">
              <a:solidFill>
                <a:srgbClr val="C0504D"/>
              </a:solidFill>
              <a:prstDash val="solid"/>
              <a:round/>
            </a:ln>
            <a:effectLst/>
          </c:spPr>
          <c:marker>
            <c:symbol val="circle"/>
            <c:size val="5"/>
            <c:spPr>
              <a:solidFill>
                <a:srgbClr val="C0504D"/>
              </a:solidFill>
              <a:ln w="9525">
                <a:solidFill>
                  <a:srgbClr val="C0504D"/>
                </a:solidFill>
              </a:ln>
              <a:effectLst/>
            </c:spPr>
          </c:marker>
          <c:cat>
            <c:strRef>
              <c:f>[近三年就业率统计表.xls]Sheet1!$C$4:$E$4</c:f>
              <c:strCache>
                <c:ptCount val="3"/>
                <c:pt idx="0">
                  <c:v>2013年</c:v>
                </c:pt>
                <c:pt idx="1">
                  <c:v>2014年</c:v>
                </c:pt>
                <c:pt idx="2">
                  <c:v>2015年</c:v>
                </c:pt>
              </c:strCache>
            </c:strRef>
          </c:cat>
          <c:val>
            <c:numRef>
              <c:f>[近三年就业率统计表.xls]Sheet1!$C$6:$E$6</c:f>
              <c:numCache>
                <c:formatCode>0.00%</c:formatCode>
                <c:ptCount val="3"/>
                <c:pt idx="0">
                  <c:v>0.98860000000000003</c:v>
                </c:pt>
                <c:pt idx="1">
                  <c:v>0.9730000000000002</c:v>
                </c:pt>
                <c:pt idx="2">
                  <c:v>0.97920000000000018</c:v>
                </c:pt>
              </c:numCache>
            </c:numRef>
          </c:val>
        </c:ser>
        <c:ser>
          <c:idx val="2"/>
          <c:order val="2"/>
          <c:tx>
            <c:strRef>
              <c:f>[近三年就业率统计表.xls]Sheet1!$B$7</c:f>
              <c:strCache>
                <c:ptCount val="1"/>
                <c:pt idx="0">
                  <c:v>总协议率</c:v>
                </c:pt>
              </c:strCache>
            </c:strRef>
          </c:tx>
          <c:spPr>
            <a:ln w="28575">
              <a:solidFill>
                <a:srgbClr val="9BBB59"/>
              </a:solidFill>
            </a:ln>
            <a:effectLst/>
          </c:spPr>
          <c:marker>
            <c:symbol val="circle"/>
            <c:size val="5"/>
            <c:spPr>
              <a:solidFill>
                <a:srgbClr val="9BBB59"/>
              </a:solidFill>
              <a:ln>
                <a:solidFill>
                  <a:srgbClr val="9BBB59"/>
                </a:solidFill>
              </a:ln>
              <a:effectLst/>
            </c:spPr>
          </c:marker>
          <c:cat>
            <c:strRef>
              <c:f>[近三年就业率统计表.xls]Sheet1!$C$4:$E$4</c:f>
              <c:strCache>
                <c:ptCount val="3"/>
                <c:pt idx="0">
                  <c:v>2013年</c:v>
                </c:pt>
                <c:pt idx="1">
                  <c:v>2014年</c:v>
                </c:pt>
                <c:pt idx="2">
                  <c:v>2015年</c:v>
                </c:pt>
              </c:strCache>
            </c:strRef>
          </c:cat>
          <c:val>
            <c:numRef>
              <c:f>[近三年就业率统计表.xls]Sheet1!$C$7:$E$7</c:f>
              <c:numCache>
                <c:formatCode>0.00%</c:formatCode>
                <c:ptCount val="3"/>
                <c:pt idx="0">
                  <c:v>0.82420000000000004</c:v>
                </c:pt>
                <c:pt idx="1">
                  <c:v>0.94300000000000017</c:v>
                </c:pt>
                <c:pt idx="2">
                  <c:v>0.95340000000000003</c:v>
                </c:pt>
              </c:numCache>
            </c:numRef>
          </c:val>
        </c:ser>
        <c:marker val="1"/>
        <c:axId val="155595904"/>
        <c:axId val="155597440"/>
      </c:lineChart>
      <c:catAx>
        <c:axId val="155595904"/>
        <c:scaling>
          <c:orientation val="minMax"/>
        </c:scaling>
        <c:axPos val="b"/>
        <c:numFmt formatCode="General" sourceLinked="1"/>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5597440"/>
        <c:crosses val="autoZero"/>
        <c:auto val="1"/>
        <c:lblAlgn val="ctr"/>
        <c:lblOffset val="100"/>
        <c:tickMarkSkip val="1"/>
      </c:catAx>
      <c:valAx>
        <c:axId val="155597440"/>
        <c:scaling>
          <c:orientation val="minMax"/>
        </c:scaling>
        <c:axPos val="l"/>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9525">
            <a:noFill/>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5595904"/>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[近三年就业流向.xls]Sheet1!$B$5</c:f>
              <c:strCache>
                <c:ptCount val="1"/>
                <c:pt idx="0">
                  <c:v>单位就业率</c:v>
                </c:pt>
              </c:strCache>
            </c:strRef>
          </c:tx>
          <c:spPr>
            <a:solidFill>
              <a:srgbClr val="4F81BD"/>
            </a:solidFill>
            <a:ln>
              <a:noFill/>
            </a:ln>
            <a:effectLst/>
          </c:spPr>
          <c:cat>
            <c:strRef>
              <c:f>[近三年就业流向.xls]Sheet1!$C$4:$E$4</c:f>
              <c:strCache>
                <c:ptCount val="3"/>
                <c:pt idx="0">
                  <c:v>2013届</c:v>
                </c:pt>
                <c:pt idx="1">
                  <c:v>2014届</c:v>
                </c:pt>
                <c:pt idx="2">
                  <c:v>2015届</c:v>
                </c:pt>
              </c:strCache>
            </c:strRef>
          </c:cat>
          <c:val>
            <c:numRef>
              <c:f>[近三年就业流向.xls]Sheet1!$C$5:$E$5</c:f>
              <c:numCache>
                <c:formatCode>0.00%</c:formatCode>
                <c:ptCount val="3"/>
                <c:pt idx="0">
                  <c:v>0.92380000000000018</c:v>
                </c:pt>
                <c:pt idx="1">
                  <c:v>0.92310000000000003</c:v>
                </c:pt>
                <c:pt idx="2">
                  <c:v>0.91539999999999999</c:v>
                </c:pt>
              </c:numCache>
            </c:numRef>
          </c:val>
        </c:ser>
        <c:ser>
          <c:idx val="1"/>
          <c:order val="1"/>
          <c:tx>
            <c:strRef>
              <c:f>[近三年就业流向.xls]Sheet1!$B$6</c:f>
              <c:strCache>
                <c:ptCount val="1"/>
                <c:pt idx="0">
                  <c:v>升学出国率</c:v>
                </c:pt>
              </c:strCache>
            </c:strRef>
          </c:tx>
          <c:spPr>
            <a:solidFill>
              <a:srgbClr val="C0504D"/>
            </a:solidFill>
            <a:ln>
              <a:noFill/>
            </a:ln>
            <a:effectLst/>
          </c:spPr>
          <c:cat>
            <c:strRef>
              <c:f>[近三年就业流向.xls]Sheet1!$C$4:$E$4</c:f>
              <c:strCache>
                <c:ptCount val="3"/>
                <c:pt idx="0">
                  <c:v>2013届</c:v>
                </c:pt>
                <c:pt idx="1">
                  <c:v>2014届</c:v>
                </c:pt>
                <c:pt idx="2">
                  <c:v>2015届</c:v>
                </c:pt>
              </c:strCache>
            </c:strRef>
          </c:cat>
          <c:val>
            <c:numRef>
              <c:f>[近三年就业流向.xls]Sheet1!$C$6:$E$6</c:f>
              <c:numCache>
                <c:formatCode>0.00%</c:formatCode>
                <c:ptCount val="3"/>
                <c:pt idx="0">
                  <c:v>3.0100000000000002E-2</c:v>
                </c:pt>
                <c:pt idx="1">
                  <c:v>1.9900000000000008E-2</c:v>
                </c:pt>
                <c:pt idx="2">
                  <c:v>3.8000000000000006E-2</c:v>
                </c:pt>
              </c:numCache>
            </c:numRef>
          </c:val>
        </c:ser>
        <c:ser>
          <c:idx val="2"/>
          <c:order val="2"/>
          <c:tx>
            <c:strRef>
              <c:f>[近三年就业流向.xls]Sheet1!$B$7</c:f>
              <c:strCache>
                <c:ptCount val="1"/>
                <c:pt idx="0">
                  <c:v>灵活就业率</c:v>
                </c:pt>
              </c:strCache>
            </c:strRef>
          </c:tx>
          <c:spPr>
            <a:solidFill>
              <a:srgbClr val="9BBB59"/>
            </a:solidFill>
            <a:ln>
              <a:noFill/>
            </a:ln>
            <a:effectLst/>
          </c:spPr>
          <c:cat>
            <c:strRef>
              <c:f>[近三年就业流向.xls]Sheet1!$C$4:$E$4</c:f>
              <c:strCache>
                <c:ptCount val="3"/>
                <c:pt idx="0">
                  <c:v>2013届</c:v>
                </c:pt>
                <c:pt idx="1">
                  <c:v>2014届</c:v>
                </c:pt>
                <c:pt idx="2">
                  <c:v>2015届</c:v>
                </c:pt>
              </c:strCache>
            </c:strRef>
          </c:cat>
          <c:val>
            <c:numRef>
              <c:f>[近三年就业流向.xls]Sheet1!$C$7:$E$7</c:f>
              <c:numCache>
                <c:formatCode>0%</c:formatCode>
                <c:ptCount val="3"/>
                <c:pt idx="0" formatCode="0.00%">
                  <c:v>3.4700000000000002E-2</c:v>
                </c:pt>
                <c:pt idx="1">
                  <c:v>3.0000000000000002E-2</c:v>
                </c:pt>
                <c:pt idx="2" formatCode="0.00%">
                  <c:v>2.5800000000000007E-2</c:v>
                </c:pt>
              </c:numCache>
            </c:numRef>
          </c:val>
        </c:ser>
        <c:gapWidth val="219"/>
        <c:overlap val="-27"/>
        <c:axId val="155641728"/>
        <c:axId val="155643264"/>
      </c:barChart>
      <c:catAx>
        <c:axId val="155641728"/>
        <c:scaling>
          <c:orientation val="minMax"/>
        </c:scaling>
        <c:axPos val="b"/>
        <c:numFmt formatCode="General" sourceLinked="1"/>
        <c:majorTickMark val="none"/>
        <c:tickLblPos val="nextTo"/>
        <c:spPr>
          <a:noFill/>
          <a:ln w="9525" cap="flat" cmpd="sng" algn="ctr">
            <a:solidFill>
              <a:srgbClr val="D9D9D9">
                <a:lumMod val="15000"/>
                <a:lumOff val="85000"/>
              </a:srgbClr>
            </a:solidFill>
            <a:round/>
          </a:ln>
          <a:effectLst/>
        </c:spPr>
        <c:txPr>
          <a:bodyPr rot="-6000000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5643264"/>
        <c:crosses val="autoZero"/>
        <c:auto val="1"/>
        <c:lblAlgn val="ctr"/>
        <c:lblOffset val="100"/>
        <c:tickMarkSkip val="1"/>
      </c:catAx>
      <c:valAx>
        <c:axId val="155643264"/>
        <c:scaling>
          <c:orientation val="minMax"/>
        </c:scaling>
        <c:axPos val="l"/>
        <c:majorGridlines>
          <c:spPr>
            <a:ln w="9525" cap="flat" cmpd="sng" algn="ctr">
              <a:solidFill>
                <a:srgbClr val="D9D9D9">
                  <a:lumMod val="15000"/>
                  <a:lumOff val="85000"/>
                </a:srgbClr>
              </a:solidFill>
              <a:round/>
            </a:ln>
            <a:effectLst/>
          </c:spPr>
        </c:majorGridlines>
        <c:numFmt formatCode="0.00%" sourceLinked="1"/>
        <c:majorTickMark val="none"/>
        <c:tickLblPos val="nextTo"/>
        <c:spPr>
          <a:noFill/>
          <a:ln>
            <a:noFill/>
          </a:ln>
          <a:effectLst/>
        </c:spPr>
        <c:txPr>
          <a:bodyPr rot="-6000000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5641728"/>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dTable>
      <c:spPr>
        <a:noFill/>
        <a:ln>
          <a:noFill/>
        </a:ln>
        <a:effectLst/>
      </c:spPr>
    </c:plotArea>
    <c:legend>
      <c:legendPos val="b"/>
      <c:spPr>
        <a:noFill/>
        <a:ln>
          <a:noFill/>
        </a:ln>
        <a:effectLst/>
      </c:spPr>
      <c:txPr>
        <a:bodyPr rot="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legend>
    <c:plotVisOnly val="1"/>
    <c:dispBlanksAs val="gap"/>
  </c:chart>
  <c:spPr>
    <a:solidFill>
      <a:srgbClr val="FFFFFF"/>
    </a:solid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spPr>
            <a:solidFill>
              <a:srgbClr val="4F81BD"/>
            </a:solidFill>
            <a:effectLst/>
          </c:spPr>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Pt>
            <c:idx val="3"/>
            <c:spPr>
              <a:solidFill>
                <a:srgbClr val="8064A2"/>
              </a:solidFill>
              <a:ln w="19050">
                <a:solidFill>
                  <a:srgbClr val="FFFFFF"/>
                </a:solidFill>
              </a:ln>
              <a:effectLst/>
            </c:spPr>
          </c:dPt>
          <c:dLbls>
            <c:dLbl>
              <c:idx val="1"/>
              <c:layout>
                <c:manualLayout>
                  <c:x val="1.1160714285714305E-2"/>
                  <c:y val="-0.10069444444444403"/>
                </c:manualLayout>
              </c:layout>
              <c:spPr/>
              <c:txPr>
                <a:bodyPr/>
                <a:lstStyle/>
                <a:p>
                  <a:pPr>
                    <a:defRPr/>
                  </a:pPr>
                  <a:endParaRPr lang="zh-CN"/>
                </a:p>
              </c:txPr>
              <c:dLblPos val="bestFit"/>
              <c:showVal val="1"/>
              <c:extLst>
                <c:ext xmlns:c15="http://schemas.microsoft.com/office/drawing/2012/chart" uri="{CE6537A1-D6FC-4f65-9D91-7224C49458BB}">
                  <c15:layout/>
                </c:ext>
              </c:extLst>
            </c:dLbl>
            <c:txPr>
              <a:bodyPr rot="0" spcFirstLastPara="0" vertOverflow="ellipsis" horzOverflow="overflow" vert="horz" wrap="square" anchor="ctr" anchorCtr="1"/>
              <a:lstStyle/>
              <a:p>
                <a:pPr>
                  <a:defRPr sz="1100" b="0" kern="120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noFill/>
                    <a:ln w="9525" cap="flat" cmpd="sng" algn="ctr">
                      <a:solidFill>
                        <a:srgbClr val="969696">
                          <a:alpha val="100000"/>
                        </a:srgbClr>
                      </a:solidFill>
                      <a:prstDash val="solid"/>
                    </a:ln>
                    <a:effectLst/>
                  </c:spPr>
                </c15:leaderLines>
              </c:ext>
            </c:extLst>
          </c:dLbls>
          <c:cat>
            <c:strRef>
              <c:f>[用人单位对毕业生总体评价.xls]Sheet1!$G$4:$G$7</c:f>
              <c:strCache>
                <c:ptCount val="4"/>
                <c:pt idx="0">
                  <c:v>很满意</c:v>
                </c:pt>
                <c:pt idx="1">
                  <c:v>满意</c:v>
                </c:pt>
                <c:pt idx="2">
                  <c:v>较满意</c:v>
                </c:pt>
                <c:pt idx="3">
                  <c:v>一般</c:v>
                </c:pt>
              </c:strCache>
            </c:strRef>
          </c:cat>
          <c:val>
            <c:numRef>
              <c:f>[用人单位对毕业生总体评价.xls]Sheet1!$H$4:$H$7</c:f>
              <c:numCache>
                <c:formatCode>0.00%</c:formatCode>
                <c:ptCount val="4"/>
                <c:pt idx="0">
                  <c:v>0.28947368421052611</c:v>
                </c:pt>
                <c:pt idx="1">
                  <c:v>0.57894736842105299</c:v>
                </c:pt>
                <c:pt idx="2">
                  <c:v>7.8947368421052586E-2</c:v>
                </c:pt>
                <c:pt idx="3">
                  <c:v>5.2631578947368425E-2</c:v>
                </c:pt>
              </c:numCache>
            </c:numRef>
          </c:val>
        </c:ser>
        <c:firstSliceAng val="0"/>
      </c:pieChart>
      <c:spPr>
        <a:noFill/>
        <a:ln>
          <a:noFill/>
        </a:ln>
        <a:effectLst/>
      </c:spPr>
    </c:plotArea>
    <c:legend>
      <c:legendPos val="r"/>
      <c:layout>
        <c:manualLayout>
          <c:xMode val="edge"/>
          <c:yMode val="edge"/>
          <c:x val="0.78208333333333302"/>
          <c:y val="0.37280092592592623"/>
          <c:w val="0.12400000000000003"/>
          <c:h val="0.26825000000000004"/>
        </c:manualLayout>
      </c:layout>
      <c:spPr>
        <a:noFill/>
        <a:ln>
          <a:noFill/>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kern="1200">
          <a:solidFill>
            <a:srgbClr val="000000"/>
          </a:solidFill>
          <a:latin typeface="+mn-lt"/>
          <a:ea typeface="+mn-ea"/>
          <a:cs typeface="+mn-cs"/>
        </a:defRPr>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2022222222222201"/>
          <c:y val="3.7037037037037014E-2"/>
          <c:w val="0.73686111111111119"/>
          <c:h val="0.83712962962963022"/>
        </c:manualLayout>
      </c:layout>
      <c:barChart>
        <c:barDir val="bar"/>
        <c:grouping val="clustered"/>
        <c:ser>
          <c:idx val="0"/>
          <c:order val="0"/>
          <c:tx>
            <c:strRef>
              <c:f>'[（三）用人单位对毕业生专业技能的认可度.xls]Sheet1'!$G$3</c:f>
              <c:strCache>
                <c:ptCount val="1"/>
              </c:strCache>
            </c:strRef>
          </c:tx>
          <c:spPr>
            <a:solidFill>
              <a:srgbClr val="4F81BD"/>
            </a:solidFill>
            <a:ln>
              <a:noFill/>
            </a:ln>
            <a:effectLst/>
          </c:spPr>
          <c:dLbls>
            <c:txPr>
              <a:bodyPr rot="0" spcFirstLastPara="0" vertOverflow="ellipsis" horzOverflow="overflow" vert="horz" wrap="square" anchor="ctr" anchorCtr="1"/>
              <a:lstStyle/>
              <a:p>
                <a:pPr>
                  <a:defRPr sz="900" b="0" kern="120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spPr>
                    <a:noFill/>
                    <a:ln w="9525" cap="flat" cmpd="sng" algn="ctr">
                      <a:solidFill>
                        <a:srgbClr val="000000"/>
                      </a:solidFill>
                      <a:prstDash val="solid"/>
                    </a:ln>
                    <a:effectLst/>
                  </c:spPr>
                </c15:leaderLines>
              </c:ext>
            </c:extLst>
          </c:dLbls>
          <c:cat>
            <c:strRef>
              <c:f>'[（三）用人单位对毕业生专业技能的认可度.xls]Sheet1'!$F$4:$F$11</c:f>
              <c:strCache>
                <c:ptCount val="8"/>
                <c:pt idx="0">
                  <c:v>创新能力</c:v>
                </c:pt>
                <c:pt idx="1">
                  <c:v>管理能力</c:v>
                </c:pt>
                <c:pt idx="2">
                  <c:v>合作与协调能力</c:v>
                </c:pt>
                <c:pt idx="3">
                  <c:v>计算机水平</c:v>
                </c:pt>
                <c:pt idx="4">
                  <c:v>灵活应变能力</c:v>
                </c:pt>
                <c:pt idx="5">
                  <c:v>学习能力</c:v>
                </c:pt>
                <c:pt idx="6">
                  <c:v>外语水平</c:v>
                </c:pt>
                <c:pt idx="7">
                  <c:v>实践能力</c:v>
                </c:pt>
              </c:strCache>
            </c:strRef>
          </c:cat>
          <c:val>
            <c:numRef>
              <c:f>'[（三）用人单位对毕业生专业技能的认可度.xls]Sheet1'!$G$4:$G$11</c:f>
              <c:numCache>
                <c:formatCode>0.00%</c:formatCode>
                <c:ptCount val="8"/>
                <c:pt idx="0">
                  <c:v>0.6000000000000002</c:v>
                </c:pt>
                <c:pt idx="1">
                  <c:v>0.65000000000000024</c:v>
                </c:pt>
                <c:pt idx="2">
                  <c:v>0.71428570000000002</c:v>
                </c:pt>
                <c:pt idx="3">
                  <c:v>0.61428570000000005</c:v>
                </c:pt>
                <c:pt idx="4">
                  <c:v>0.82428570000000001</c:v>
                </c:pt>
                <c:pt idx="5">
                  <c:v>0.51428571428571401</c:v>
                </c:pt>
                <c:pt idx="6">
                  <c:v>0.58571428999999986</c:v>
                </c:pt>
                <c:pt idx="7">
                  <c:v>0.65714285714285725</c:v>
                </c:pt>
              </c:numCache>
            </c:numRef>
          </c:val>
        </c:ser>
        <c:gapWidth val="182"/>
        <c:axId val="153363200"/>
        <c:axId val="153364736"/>
      </c:barChart>
      <c:catAx>
        <c:axId val="153363200"/>
        <c:scaling>
          <c:orientation val="minMax"/>
        </c:scaling>
        <c:axPos val="l"/>
        <c:numFmt formatCode="General" sourceLinked="1"/>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364736"/>
        <c:crosses val="autoZero"/>
        <c:auto val="1"/>
        <c:lblAlgn val="ctr"/>
        <c:lblOffset val="100"/>
        <c:tickMarkSkip val="1"/>
      </c:catAx>
      <c:valAx>
        <c:axId val="153364736"/>
        <c:scaling>
          <c:orientation val="minMax"/>
        </c:scaling>
        <c:delete val="1"/>
        <c:axPos val="b"/>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crossAx val="153363200"/>
        <c:crosses val="autoZero"/>
        <c:crossBetween val="between"/>
      </c:valAx>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[就业工作满意度调查.xls]Sheet1!$C$14</c:f>
              <c:strCache>
                <c:ptCount val="1"/>
                <c:pt idx="0">
                  <c:v>非常满意</c:v>
                </c:pt>
              </c:strCache>
            </c:strRef>
          </c:tx>
          <c:spPr>
            <a:solidFill>
              <a:srgbClr val="4F81BD"/>
            </a:solidFill>
            <a:ln>
              <a:noFill/>
            </a:ln>
            <a:effectLst/>
          </c:spPr>
          <c:dLbls>
            <c:spPr>
              <a:noFill/>
              <a:ln>
                <a:noFill/>
              </a:ln>
              <a:effectLst/>
            </c:spPr>
            <c:txPr>
              <a:bodyPr rot="0" spcFirstLastPara="0" vertOverflow="ellipsis" horzOverflow="overflow" vert="horz" wrap="square" anchor="ctr" anchorCtr="1"/>
              <a:lstStyle/>
              <a:p>
                <a:pPr>
                  <a:defRPr sz="1000" b="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noFill/>
                    <a:ln w="9525" cap="flat" cmpd="sng" algn="ctr">
                      <a:solidFill>
                        <a:srgbClr val="000000"/>
                      </a:solidFill>
                      <a:prstDash val="solid"/>
                    </a:ln>
                    <a:effectLst/>
                  </c:spPr>
                </c15:leaderLines>
              </c:ext>
            </c:extLst>
          </c:dLbls>
          <c:cat>
            <c:strRef>
              <c:f>[就业工作满意度调查.xls]Sheet1!$B$15:$B$22</c:f>
              <c:strCache>
                <c:ptCount val="8"/>
                <c:pt idx="0">
                  <c:v>毕业生就业工作收到的重视程度</c:v>
                </c:pt>
                <c:pt idx="1">
                  <c:v>就业指导课的授课内容</c:v>
                </c:pt>
                <c:pt idx="2">
                  <c:v>就业指导工作人员提供的服务</c:v>
                </c:pt>
                <c:pt idx="3">
                  <c:v>就业网站的内容</c:v>
                </c:pt>
                <c:pt idx="4">
                  <c:v>就业信息的收集、发布工作</c:v>
                </c:pt>
                <c:pt idx="5">
                  <c:v>举行的各类就业招聘活动</c:v>
                </c:pt>
                <c:pt idx="6">
                  <c:v>当前就业政策宣传力度</c:v>
                </c:pt>
                <c:pt idx="7">
                  <c:v>与企业间的交流合作工作</c:v>
                </c:pt>
              </c:strCache>
            </c:strRef>
          </c:cat>
          <c:val>
            <c:numRef>
              <c:f>[就业工作满意度调查.xls]Sheet1!$C$15:$C$22</c:f>
              <c:numCache>
                <c:formatCode>0%</c:formatCode>
                <c:ptCount val="8"/>
                <c:pt idx="0">
                  <c:v>0.52</c:v>
                </c:pt>
                <c:pt idx="1">
                  <c:v>0.4900000000000001</c:v>
                </c:pt>
                <c:pt idx="2">
                  <c:v>0.44</c:v>
                </c:pt>
                <c:pt idx="3">
                  <c:v>0.4300000000000001</c:v>
                </c:pt>
                <c:pt idx="4">
                  <c:v>0.45</c:v>
                </c:pt>
                <c:pt idx="5">
                  <c:v>0.46</c:v>
                </c:pt>
                <c:pt idx="6">
                  <c:v>0.4300000000000001</c:v>
                </c:pt>
                <c:pt idx="7">
                  <c:v>0.45</c:v>
                </c:pt>
              </c:numCache>
            </c:numRef>
          </c:val>
        </c:ser>
        <c:ser>
          <c:idx val="1"/>
          <c:order val="1"/>
          <c:tx>
            <c:strRef>
              <c:f>[就业工作满意度调查.xls]Sheet1!$D$14</c:f>
              <c:strCache>
                <c:ptCount val="1"/>
                <c:pt idx="0">
                  <c:v>满意</c:v>
                </c:pt>
              </c:strCache>
            </c:strRef>
          </c:tx>
          <c:spPr>
            <a:solidFill>
              <a:srgbClr val="C0504D"/>
            </a:solidFill>
            <a:ln>
              <a:noFill/>
            </a:ln>
            <a:effectLst/>
          </c:spPr>
          <c:dLbls>
            <c:dLbl>
              <c:idx val="0"/>
              <c:layout>
                <c:manualLayout>
                  <c:x val="-1.2500000000000004E-2"/>
                  <c:y val="-3.2444124008651799E-2"/>
                </c:manualLayout>
              </c:layout>
              <c:spPr/>
              <c:txPr>
                <a:bodyPr/>
                <a:lstStyle/>
                <a:p>
                  <a:pPr>
                    <a:defRPr/>
                  </a:pPr>
                  <a:endParaRPr lang="zh-CN"/>
                </a:p>
              </c:txPr>
              <c:dLblPos val="outEnd"/>
              <c:showVal val="1"/>
              <c:extLst>
                <c:ext xmlns:c15="http://schemas.microsoft.com/office/drawing/2012/chart" uri="{CE6537A1-D6FC-4f65-9D91-7224C49458BB}">
                  <c15:layout/>
                </c:ext>
              </c:extLst>
            </c:dLbl>
            <c:dLbl>
              <c:idx val="1"/>
              <c:layout>
                <c:manualLayout>
                  <c:x val="-1.0416666666666703E-2"/>
                  <c:y val="-2.1629416005767808E-2"/>
                </c:manualLayout>
              </c:layout>
              <c:spPr/>
              <c:txPr>
                <a:bodyPr/>
                <a:lstStyle/>
                <a:p>
                  <a:pPr>
                    <a:defRPr/>
                  </a:pPr>
                  <a:endParaRPr lang="zh-CN"/>
                </a:p>
              </c:txPr>
              <c:dLblPos val="outEnd"/>
              <c:showVal val="1"/>
              <c:extLst>
                <c:ext xmlns:c15="http://schemas.microsoft.com/office/drawing/2012/chart" uri="{CE6537A1-D6FC-4f65-9D91-7224C49458BB}">
                  <c15:layout/>
                </c:ext>
              </c:extLst>
            </c:dLbl>
            <c:dLbl>
              <c:idx val="2"/>
              <c:layout>
                <c:manualLayout>
                  <c:x val="-6.2500000000000012E-3"/>
                  <c:y val="-2.4333093006488803E-2"/>
                </c:manualLayout>
              </c:layout>
              <c:spPr/>
              <c:txPr>
                <a:bodyPr/>
                <a:lstStyle/>
                <a:p>
                  <a:pPr>
                    <a:defRPr/>
                  </a:pPr>
                  <a:endParaRPr lang="zh-CN"/>
                </a:p>
              </c:txPr>
              <c:dLblPos val="outEnd"/>
              <c:showVal val="1"/>
              <c:extLst>
                <c:ext xmlns:c15="http://schemas.microsoft.com/office/drawing/2012/chart" uri="{CE6537A1-D6FC-4f65-9D91-7224C49458BB}">
                  <c15:layout/>
                </c:ext>
              </c:extLst>
            </c:dLbl>
            <c:dLbl>
              <c:idx val="3"/>
              <c:layout>
                <c:manualLayout>
                  <c:x val="-2.6304940346876114E-2"/>
                  <c:y val="-2.1629416005767808E-2"/>
                </c:manualLayout>
              </c:layout>
              <c:spPr/>
              <c:txPr>
                <a:bodyPr/>
                <a:lstStyle/>
                <a:p>
                  <a:pPr>
                    <a:defRPr/>
                  </a:pPr>
                  <a:endParaRPr lang="zh-CN"/>
                </a:p>
              </c:txPr>
              <c:dLblPos val="outEnd"/>
              <c:showVal val="1"/>
              <c:extLst>
                <c:ext xmlns:c15="http://schemas.microsoft.com/office/drawing/2012/chart" uri="{CE6537A1-D6FC-4f65-9D91-7224C49458BB}">
                  <c15:layout/>
                </c:ext>
              </c:extLst>
            </c:dLbl>
            <c:dLbl>
              <c:idx val="4"/>
              <c:layout>
                <c:manualLayout>
                  <c:x val="-2.4221607013542801E-2"/>
                  <c:y val="-2.1629416005767808E-2"/>
                </c:manualLayout>
              </c:layout>
              <c:spPr/>
              <c:txPr>
                <a:bodyPr/>
                <a:lstStyle/>
                <a:p>
                  <a:pPr>
                    <a:defRPr/>
                  </a:pPr>
                  <a:endParaRPr lang="zh-CN"/>
                </a:p>
              </c:txPr>
              <c:dLblPos val="outEnd"/>
              <c:showVal val="1"/>
              <c:extLst>
                <c:ext xmlns:c15="http://schemas.microsoft.com/office/drawing/2012/chart" uri="{CE6537A1-D6FC-4f65-9D91-7224C49458BB}">
                  <c15:layout/>
                </c:ext>
              </c:extLst>
            </c:dLbl>
            <c:dLbl>
              <c:idx val="5"/>
              <c:layout>
                <c:manualLayout>
                  <c:x val="-6.2500000000000012E-3"/>
                  <c:y val="-2.7036770007209818E-2"/>
                </c:manualLayout>
              </c:layout>
              <c:spPr/>
              <c:txPr>
                <a:bodyPr/>
                <a:lstStyle/>
                <a:p>
                  <a:pPr>
                    <a:defRPr/>
                  </a:pPr>
                  <a:endParaRPr lang="zh-CN"/>
                </a:p>
              </c:txPr>
              <c:dLblPos val="outEnd"/>
              <c:showVal val="1"/>
              <c:extLst>
                <c:ext xmlns:c15="http://schemas.microsoft.com/office/drawing/2012/chart" uri="{CE6537A1-D6FC-4f65-9D91-7224C49458BB}">
                  <c15:layout/>
                </c:ext>
              </c:extLst>
            </c:dLbl>
            <c:dLbl>
              <c:idx val="6"/>
              <c:layout>
                <c:manualLayout>
                  <c:x val="-1.4583333333333302E-2"/>
                  <c:y val="-2.7036770007209818E-2"/>
                </c:manualLayout>
              </c:layout>
              <c:spPr/>
              <c:txPr>
                <a:bodyPr/>
                <a:lstStyle/>
                <a:p>
                  <a:pPr>
                    <a:defRPr/>
                  </a:pPr>
                  <a:endParaRPr lang="zh-CN"/>
                </a:p>
              </c:txPr>
              <c:dLblPos val="outEnd"/>
              <c:showVal val="1"/>
              <c:extLst>
                <c:ext xmlns:c15="http://schemas.microsoft.com/office/drawing/2012/chart" uri="{CE6537A1-D6FC-4f65-9D91-7224C49458BB}">
                  <c15:layout/>
                </c:ext>
              </c:extLst>
            </c:dLbl>
            <c:dLbl>
              <c:idx val="7"/>
              <c:layout>
                <c:manualLayout>
                  <c:x val="-8.3333333333333332E-3"/>
                  <c:y val="-2.4333093006488803E-2"/>
                </c:manualLayout>
              </c:layout>
              <c:spPr/>
              <c:txPr>
                <a:bodyPr/>
                <a:lstStyle/>
                <a:p>
                  <a:pPr>
                    <a:defRPr/>
                  </a:pPr>
                  <a:endParaRPr lang="zh-CN"/>
                </a:p>
              </c:txPr>
              <c:dLblPos val="outEnd"/>
              <c:showVal val="1"/>
              <c:extLst>
                <c:ext xmlns:c15="http://schemas.microsoft.com/office/drawing/2012/chart" uri="{CE6537A1-D6FC-4f65-9D91-7224C49458BB}">
                  <c15:layout/>
                </c:ext>
              </c:extLst>
            </c:dLbl>
            <c:spPr>
              <a:noFill/>
              <a:ln>
                <a:noFill/>
              </a:ln>
              <a:effectLst/>
            </c:spPr>
            <c:txPr>
              <a:bodyPr rot="0" spcFirstLastPara="0" vertOverflow="ellipsis" horzOverflow="overflow" vert="horz" wrap="square" anchor="ctr" anchorCtr="1"/>
              <a:lstStyle/>
              <a:p>
                <a:pPr>
                  <a:defRPr sz="1000" b="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noFill/>
                    <a:ln w="9525" cap="flat" cmpd="sng" algn="ctr">
                      <a:solidFill>
                        <a:srgbClr val="000000"/>
                      </a:solidFill>
                      <a:prstDash val="solid"/>
                    </a:ln>
                    <a:effectLst/>
                  </c:spPr>
                </c15:leaderLines>
              </c:ext>
            </c:extLst>
          </c:dLbls>
          <c:cat>
            <c:strRef>
              <c:f>[就业工作满意度调查.xls]Sheet1!$B$15:$B$22</c:f>
              <c:strCache>
                <c:ptCount val="8"/>
                <c:pt idx="0">
                  <c:v>毕业生就业工作收到的重视程度</c:v>
                </c:pt>
                <c:pt idx="1">
                  <c:v>就业指导课的授课内容</c:v>
                </c:pt>
                <c:pt idx="2">
                  <c:v>就业指导工作人员提供的服务</c:v>
                </c:pt>
                <c:pt idx="3">
                  <c:v>就业网站的内容</c:v>
                </c:pt>
                <c:pt idx="4">
                  <c:v>就业信息的收集、发布工作</c:v>
                </c:pt>
                <c:pt idx="5">
                  <c:v>举行的各类就业招聘活动</c:v>
                </c:pt>
                <c:pt idx="6">
                  <c:v>当前就业政策宣传力度</c:v>
                </c:pt>
                <c:pt idx="7">
                  <c:v>与企业间的交流合作工作</c:v>
                </c:pt>
              </c:strCache>
            </c:strRef>
          </c:cat>
          <c:val>
            <c:numRef>
              <c:f>[就业工作满意度调查.xls]Sheet1!$D$15:$D$22</c:f>
              <c:numCache>
                <c:formatCode>0%</c:formatCode>
                <c:ptCount val="8"/>
                <c:pt idx="0">
                  <c:v>0.44</c:v>
                </c:pt>
                <c:pt idx="1">
                  <c:v>0.46</c:v>
                </c:pt>
                <c:pt idx="2">
                  <c:v>0.45</c:v>
                </c:pt>
                <c:pt idx="3">
                  <c:v>0.4900000000000001</c:v>
                </c:pt>
                <c:pt idx="4">
                  <c:v>0.4900000000000001</c:v>
                </c:pt>
                <c:pt idx="5">
                  <c:v>0.45</c:v>
                </c:pt>
                <c:pt idx="6">
                  <c:v>0.47000000000000008</c:v>
                </c:pt>
                <c:pt idx="7">
                  <c:v>0.4</c:v>
                </c:pt>
              </c:numCache>
            </c:numRef>
          </c:val>
        </c:ser>
        <c:ser>
          <c:idx val="2"/>
          <c:order val="2"/>
          <c:tx>
            <c:strRef>
              <c:f>[就业工作满意度调查.xls]Sheet1!$E$14</c:f>
              <c:strCache>
                <c:ptCount val="1"/>
                <c:pt idx="0">
                  <c:v>一般</c:v>
                </c:pt>
              </c:strCache>
            </c:strRef>
          </c:tx>
          <c:spPr>
            <a:solidFill>
              <a:srgbClr val="9BBB59"/>
            </a:solidFill>
            <a:ln>
              <a:noFill/>
            </a:ln>
            <a:effectLst/>
          </c:spPr>
          <c:dLbls>
            <c:spPr>
              <a:noFill/>
              <a:ln>
                <a:noFill/>
              </a:ln>
              <a:effectLst/>
            </c:spPr>
            <c:txPr>
              <a:bodyPr rot="0" spcFirstLastPara="0" vertOverflow="ellipsis" horzOverflow="overflow" vert="horz" wrap="square" anchor="ctr" anchorCtr="1"/>
              <a:lstStyle/>
              <a:p>
                <a:pPr>
                  <a:defRPr sz="1000" b="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noFill/>
                    <a:ln w="9525" cap="flat" cmpd="sng" algn="ctr">
                      <a:solidFill>
                        <a:srgbClr val="000000"/>
                      </a:solidFill>
                      <a:prstDash val="solid"/>
                    </a:ln>
                    <a:effectLst/>
                  </c:spPr>
                </c15:leaderLines>
              </c:ext>
            </c:extLst>
          </c:dLbls>
          <c:cat>
            <c:strRef>
              <c:f>[就业工作满意度调查.xls]Sheet1!$B$15:$B$22</c:f>
              <c:strCache>
                <c:ptCount val="8"/>
                <c:pt idx="0">
                  <c:v>毕业生就业工作收到的重视程度</c:v>
                </c:pt>
                <c:pt idx="1">
                  <c:v>就业指导课的授课内容</c:v>
                </c:pt>
                <c:pt idx="2">
                  <c:v>就业指导工作人员提供的服务</c:v>
                </c:pt>
                <c:pt idx="3">
                  <c:v>就业网站的内容</c:v>
                </c:pt>
                <c:pt idx="4">
                  <c:v>就业信息的收集、发布工作</c:v>
                </c:pt>
                <c:pt idx="5">
                  <c:v>举行的各类就业招聘活动</c:v>
                </c:pt>
                <c:pt idx="6">
                  <c:v>当前就业政策宣传力度</c:v>
                </c:pt>
                <c:pt idx="7">
                  <c:v>与企业间的交流合作工作</c:v>
                </c:pt>
              </c:strCache>
            </c:strRef>
          </c:cat>
          <c:val>
            <c:numRef>
              <c:f>[就业工作满意度调查.xls]Sheet1!$E$15:$E$22</c:f>
              <c:numCache>
                <c:formatCode>0%</c:formatCode>
                <c:ptCount val="8"/>
                <c:pt idx="0">
                  <c:v>4.0000000000000015E-2</c:v>
                </c:pt>
                <c:pt idx="1">
                  <c:v>0.05</c:v>
                </c:pt>
                <c:pt idx="2">
                  <c:v>0.11</c:v>
                </c:pt>
                <c:pt idx="3">
                  <c:v>8.0000000000000029E-2</c:v>
                </c:pt>
                <c:pt idx="4">
                  <c:v>6.0000000000000019E-2</c:v>
                </c:pt>
                <c:pt idx="5">
                  <c:v>9.0000000000000024E-2</c:v>
                </c:pt>
                <c:pt idx="6">
                  <c:v>0.1</c:v>
                </c:pt>
                <c:pt idx="7">
                  <c:v>0.15000000000000005</c:v>
                </c:pt>
              </c:numCache>
            </c:numRef>
          </c:val>
        </c:ser>
        <c:dLbls>
          <c:showVal val="1"/>
        </c:dLbls>
        <c:gapWidth val="182"/>
        <c:axId val="155737088"/>
        <c:axId val="155755264"/>
      </c:barChart>
      <c:catAx>
        <c:axId val="155737088"/>
        <c:scaling>
          <c:orientation val="minMax"/>
        </c:scaling>
        <c:axPos val="l"/>
        <c:numFmt formatCode="General" sourceLinked="1"/>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5755264"/>
        <c:crosses val="autoZero"/>
        <c:auto val="1"/>
        <c:lblAlgn val="ctr"/>
        <c:lblOffset val="100"/>
        <c:tickMarkSkip val="1"/>
      </c:catAx>
      <c:valAx>
        <c:axId val="155755264"/>
        <c:scaling>
          <c:orientation val="minMax"/>
        </c:scaling>
        <c:axPos val="b"/>
        <c:majorGridlines>
          <c:spPr>
            <a:ln w="9525" cap="flat" cmpd="sng" algn="ctr">
              <a:solidFill>
                <a:srgbClr val="D9D9D9">
                  <a:lumMod val="15000"/>
                  <a:lumOff val="85000"/>
                </a:srgbClr>
              </a:solidFill>
              <a:prstDash val="solid"/>
              <a:round/>
            </a:ln>
            <a:effectLst/>
          </c:spPr>
        </c:majorGridlines>
        <c:numFmt formatCode="0%" sourceLinked="1"/>
        <c:majorTickMark val="none"/>
        <c:tickLblPos val="nextTo"/>
        <c:spPr>
          <a:noFill/>
          <a:ln w="9525">
            <a:noFill/>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5737088"/>
        <c:crosses val="autoZero"/>
        <c:crossBetween val="between"/>
      </c:valAx>
      <c:spPr>
        <a:noFill/>
        <a:ln>
          <a:noFill/>
        </a:ln>
        <a:effectLst/>
      </c:spPr>
    </c:plotArea>
    <c:legend>
      <c:legendPos val="b"/>
      <c:layout>
        <c:manualLayout>
          <c:xMode val="edge"/>
          <c:yMode val="edge"/>
          <c:x val="0.30145833333333311"/>
          <c:y val="0.89143518518518483"/>
          <c:w val="0.41375000000000001"/>
          <c:h val="7.7314814814814822E-2"/>
        </c:manualLayout>
      </c:layout>
      <c:spPr>
        <a:noFill/>
        <a:ln>
          <a:noFill/>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legend>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8700000000000006"/>
          <c:y val="0.19475000000000001"/>
          <c:w val="0.37425000000000008"/>
          <c:h val="0.68375000000000019"/>
        </c:manualLayout>
      </c:layout>
      <c:pieChart>
        <c:varyColors val="1"/>
        <c:ser>
          <c:idx val="0"/>
          <c:order val="0"/>
          <c:spPr>
            <a:effectLst/>
          </c:spPr>
          <c:explosion val="33"/>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Pt>
            <c:idx val="3"/>
            <c:spPr>
              <a:solidFill>
                <a:srgbClr val="8064A2"/>
              </a:solidFill>
              <a:ln w="19050">
                <a:solidFill>
                  <a:srgbClr val="FFFFFF"/>
                </a:solidFill>
              </a:ln>
              <a:effectLst/>
            </c:spPr>
          </c:dPt>
          <c:dPt>
            <c:idx val="4"/>
            <c:spPr>
              <a:solidFill>
                <a:srgbClr val="4BACC6"/>
              </a:solidFill>
              <a:ln w="19050">
                <a:solidFill>
                  <a:srgbClr val="FFFFFF"/>
                </a:solidFill>
              </a:ln>
              <a:effectLst/>
            </c:spPr>
          </c:dPt>
          <c:dPt>
            <c:idx val="5"/>
            <c:spPr>
              <a:solidFill>
                <a:srgbClr val="F79646"/>
              </a:solidFill>
              <a:ln w="19050">
                <a:solidFill>
                  <a:srgbClr val="FFFFFF"/>
                </a:solidFill>
              </a:ln>
              <a:effectLst/>
            </c:spPr>
          </c:dPt>
          <c:dLbls>
            <c:dLbl>
              <c:idx val="0"/>
              <c:layout>
                <c:manualLayout>
                  <c:x val="-1.5515588283903902E-2"/>
                  <c:y val="-3.4251787651846111E-2"/>
                </c:manualLayout>
              </c:layout>
              <c:tx>
                <c:rich>
                  <a:bodyPr rot="0" vertOverflow="ellipsis" anchor="ctr" anchorCtr="1"/>
                  <a:lstStyle/>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15.85%</a:t>
                    </a:r>
                  </a:p>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（313人）</a:t>
                    </a:r>
                  </a:p>
                </c:rich>
              </c:tx>
              <c:spPr/>
              <c:dLblPos val="bestFit"/>
              <c:showVal val="1"/>
              <c:showPercent val="1"/>
              <c:extLst>
                <c:ext xmlns:c15="http://schemas.microsoft.com/office/drawing/2012/chart" uri="{CE6537A1-D6FC-4f65-9D91-7224C49458BB}">
                  <c15:layout/>
                </c:ext>
              </c:extLst>
            </c:dLbl>
            <c:dLbl>
              <c:idx val="1"/>
              <c:tx>
                <c:rich>
                  <a:bodyPr rot="0" vertOverflow="ellipsis" anchor="ctr" anchorCtr="1"/>
                  <a:lstStyle/>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5.82%</a:t>
                    </a:r>
                  </a:p>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（115人）</a:t>
                    </a:r>
                  </a:p>
                </c:rich>
              </c:tx>
              <c:spPr/>
              <c:dLblPos val="outEnd"/>
              <c:showVal val="1"/>
              <c:showPercent val="1"/>
              <c:extLst>
                <c:ext xmlns:c15="http://schemas.microsoft.com/office/drawing/2012/chart" uri="{CE6537A1-D6FC-4f65-9D91-7224C49458BB}"/>
              </c:extLst>
            </c:dLbl>
            <c:dLbl>
              <c:idx val="2"/>
              <c:tx>
                <c:rich>
                  <a:bodyPr rot="0" vertOverflow="ellipsis" anchor="ctr" anchorCtr="1"/>
                  <a:lstStyle/>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17.11%</a:t>
                    </a:r>
                  </a:p>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（338人）</a:t>
                    </a:r>
                  </a:p>
                </c:rich>
              </c:tx>
              <c:spPr/>
              <c:dLblPos val="outEnd"/>
              <c:showVal val="1"/>
              <c:showPercent val="1"/>
              <c:extLst>
                <c:ext xmlns:c15="http://schemas.microsoft.com/office/drawing/2012/chart" uri="{CE6537A1-D6FC-4f65-9D91-7224C49458BB}"/>
              </c:extLst>
            </c:dLbl>
            <c:dLbl>
              <c:idx val="3"/>
              <c:layout>
                <c:manualLayout>
                  <c:x val="5.5624350316801095E-2"/>
                  <c:y val="-0.13371286125618201"/>
                </c:manualLayout>
              </c:layout>
              <c:tx>
                <c:rich>
                  <a:bodyPr rot="0" vertOverflow="ellipsis" anchor="ctr" anchorCtr="1"/>
                  <a:lstStyle/>
                  <a:p>
                    <a:pPr algn="ctr" defTabSz="914400">
                      <a:defRPr sz="900" kern="1200">
                        <a:solidFill>
                          <a:srgbClr val="404040">
                            <a:lumMod val="75000"/>
                            <a:lumOff val="25000"/>
                          </a:srgbClr>
                        </a:solidFill>
                        <a:latin typeface="+mn-lt"/>
                        <a:ea typeface="+mn-ea"/>
                        <a:cs typeface="+mn-cs"/>
                      </a:defRPr>
                    </a:pPr>
                    <a:endParaRPr sz="900" b="0" i="0" u="none" strike="noStrike" kern="1200" cap="none" normalizeH="0" baseline="0">
                      <a:solidFill>
                        <a:srgbClr val="404040">
                          <a:lumMod val="75000"/>
                          <a:lumOff val="25000"/>
                        </a:srgbClr>
                      </a:solidFill>
                      <a:effectLst/>
                      <a:latin typeface="+mn-lt"/>
                      <a:ea typeface="+mn-ea"/>
                      <a:cs typeface="+mn-cs"/>
                    </a:endParaRPr>
                  </a:p>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11.65%</a:t>
                    </a:r>
                  </a:p>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（230人）</a:t>
                    </a:r>
                  </a:p>
                </c:rich>
              </c:tx>
              <c:spPr/>
              <c:dLblPos val="bestFit"/>
              <c:showVal val="1"/>
              <c:showPercent val="1"/>
              <c:extLst>
                <c:ext xmlns:c15="http://schemas.microsoft.com/office/drawing/2012/chart" uri="{CE6537A1-D6FC-4f65-9D91-7224C49458BB}">
                  <c15:layout/>
                </c:ext>
              </c:extLst>
            </c:dLbl>
            <c:dLbl>
              <c:idx val="4"/>
              <c:tx>
                <c:rich>
                  <a:bodyPr rot="0" vertOverflow="ellipsis" anchor="ctr" anchorCtr="1"/>
                  <a:lstStyle/>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20.51%</a:t>
                    </a:r>
                  </a:p>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（405人）</a:t>
                    </a:r>
                  </a:p>
                  <a:p>
                    <a:pPr algn="ctr" defTabSz="914400">
                      <a:defRPr sz="900" kern="1200">
                        <a:solidFill>
                          <a:srgbClr val="404040">
                            <a:lumMod val="75000"/>
                            <a:lumOff val="25000"/>
                          </a:srgbClr>
                        </a:solidFill>
                        <a:latin typeface="+mn-lt"/>
                        <a:ea typeface="+mn-ea"/>
                        <a:cs typeface="+mn-cs"/>
                      </a:defRPr>
                    </a:pPr>
                    <a:endParaRPr sz="900" b="0" i="0" u="none" strike="noStrike" kern="1200" cap="none" normalizeH="0" baseline="0">
                      <a:solidFill>
                        <a:srgbClr val="404040">
                          <a:lumMod val="75000"/>
                          <a:lumOff val="25000"/>
                        </a:srgbClr>
                      </a:solidFill>
                      <a:effectLst/>
                      <a:latin typeface="+mn-lt"/>
                      <a:ea typeface="+mn-ea"/>
                      <a:cs typeface="+mn-cs"/>
                    </a:endParaRPr>
                  </a:p>
                </c:rich>
              </c:tx>
              <c:spPr/>
              <c:dLblPos val="outEnd"/>
              <c:showVal val="1"/>
              <c:showPercent val="1"/>
              <c:extLst>
                <c:ext xmlns:c15="http://schemas.microsoft.com/office/drawing/2012/chart" uri="{CE6537A1-D6FC-4f65-9D91-7224C49458BB}"/>
              </c:extLst>
            </c:dLbl>
            <c:dLbl>
              <c:idx val="5"/>
              <c:tx>
                <c:rich>
                  <a:bodyPr rot="0" vertOverflow="ellipsis" anchor="ctr" anchorCtr="1"/>
                  <a:lstStyle/>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29.06%</a:t>
                    </a:r>
                  </a:p>
                  <a:p>
                    <a:pPr algn="ctr" defTabSz="914400">
                      <a:defRPr sz="900" kern="120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（574人）</a:t>
                    </a:r>
                  </a:p>
                </c:rich>
              </c:tx>
              <c:spPr/>
              <c:dLblPos val="outEnd"/>
              <c:showVal val="1"/>
              <c:showPercent val="1"/>
              <c:extLst>
                <c:ext xmlns:c15="http://schemas.microsoft.com/office/drawing/2012/chart" uri="{CE6537A1-D6FC-4f65-9D91-7224C49458BB}"/>
              </c:extLst>
            </c:dLbl>
            <c:numFmt formatCode="0.00%" sourceLinked="0"/>
            <c:spPr>
              <a:noFill/>
              <a:ln>
                <a:noFill/>
              </a:ln>
              <a:effectLst/>
            </c:spPr>
            <c:txPr>
              <a:bodyPr rot="0" spcFirstLastPara="0" vertOverflow="ellipsis" horzOverflow="overflow" vert="horz" wrap="square" anchor="ctr" anchorCtr="1"/>
              <a:lstStyle/>
              <a:p>
                <a:pPr>
                  <a:defRPr sz="900" kern="1200">
                    <a:solidFill>
                      <a:srgbClr val="404040">
                        <a:lumMod val="75000"/>
                        <a:lumOff val="25000"/>
                      </a:srgbClr>
                    </a:solidFill>
                    <a:latin typeface="+mn-lt"/>
                    <a:ea typeface="+mn-ea"/>
                    <a:cs typeface="+mn-cs"/>
                  </a:defRPr>
                </a:pPr>
                <a:endParaRPr lang="zh-CN"/>
              </a:p>
            </c:txPr>
            <c:dLblPos val="outEnd"/>
            <c:showVal val="1"/>
            <c:showPercent val="1"/>
            <c:extLst>
              <c:ext xmlns:c15="http://schemas.microsoft.com/office/drawing/2012/chart" uri="{CE6537A1-D6FC-4f65-9D91-7224C49458BB}">
                <c15:layout/>
                <c15:showLeaderLines val="0"/>
                <c15:leaderLines>
                  <c:spPr>
                    <a:noFill/>
                    <a:ln w="9525" cap="flat" cmpd="sng" algn="ctr">
                      <a:solidFill>
                        <a:srgbClr val="A6A6A6">
                          <a:lumMod val="35000"/>
                          <a:lumOff val="65000"/>
                        </a:srgbClr>
                      </a:solidFill>
                      <a:round/>
                    </a:ln>
                    <a:effectLst/>
                  </c:spPr>
                </c15:leaderLines>
              </c:ext>
            </c:extLst>
          </c:dLbls>
          <c:cat>
            <c:strRef>
              <c:f>[各学部毕业生分布情况.xls]Sheet1!$B$3:$B$8</c:f>
              <c:strCache>
                <c:ptCount val="6"/>
                <c:pt idx="0">
                  <c:v>人文学部</c:v>
                </c:pt>
                <c:pt idx="1">
                  <c:v>理学部</c:v>
                </c:pt>
                <c:pt idx="2">
                  <c:v>经济与管理学部</c:v>
                </c:pt>
                <c:pt idx="3">
                  <c:v>信息科学部</c:v>
                </c:pt>
                <c:pt idx="4">
                  <c:v>工程学部</c:v>
                </c:pt>
                <c:pt idx="5">
                  <c:v>医学部</c:v>
                </c:pt>
              </c:strCache>
            </c:strRef>
          </c:cat>
          <c:val>
            <c:numRef>
              <c:f>[各学部毕业生分布情况.xls]Sheet1!$C$3:$C$8</c:f>
              <c:numCache>
                <c:formatCode>General</c:formatCode>
                <c:ptCount val="6"/>
                <c:pt idx="0">
                  <c:v>313</c:v>
                </c:pt>
                <c:pt idx="1">
                  <c:v>115</c:v>
                </c:pt>
                <c:pt idx="2">
                  <c:v>338</c:v>
                </c:pt>
                <c:pt idx="3">
                  <c:v>230</c:v>
                </c:pt>
                <c:pt idx="4">
                  <c:v>405</c:v>
                </c:pt>
                <c:pt idx="5">
                  <c:v>574</c:v>
                </c:pt>
              </c:numCache>
            </c:numRef>
          </c:val>
        </c:ser>
        <c:firstSliceAng val="0"/>
      </c:pieChart>
      <c:spPr>
        <a:noFill/>
        <a:ln>
          <a:noFill/>
        </a:ln>
        <a:effectLst/>
      </c:spPr>
    </c:plotArea>
    <c:legend>
      <c:legendPos val="r"/>
      <c:spPr>
        <a:noFill/>
        <a:ln>
          <a:noFill/>
        </a:ln>
        <a:effectLst/>
      </c:spPr>
      <c:txPr>
        <a:bodyPr rot="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lang="zh-CN" sz="900" kern="1200">
          <a:solidFill>
            <a:srgbClr val="000000"/>
          </a:solidFill>
          <a:latin typeface="+mn-lt"/>
          <a:ea typeface="+mn-ea"/>
          <a:cs typeface="+mn-cs"/>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6420882646418892"/>
          <c:y val="2.4311347463365413E-2"/>
          <c:w val="0.53873178749295181"/>
          <c:h val="0.93276353276353319"/>
        </c:manualLayout>
      </c:layout>
      <c:pieChart>
        <c:varyColors val="1"/>
        <c:ser>
          <c:idx val="0"/>
          <c:order val="0"/>
          <c:spPr>
            <a:gradFill rotWithShape="1">
              <a:gsLst>
                <a:gs pos="0">
                  <a:srgbClr val="2C5D98">
                    <a:shade val="51000"/>
                    <a:satMod val="130000"/>
                  </a:srgbClr>
                </a:gs>
                <a:gs pos="80000">
                  <a:srgbClr val="3C7BC7">
                    <a:shade val="93000"/>
                    <a:satMod val="130000"/>
                  </a:srgbClr>
                </a:gs>
                <a:gs pos="100000">
                  <a:srgbClr val="3A7CCB">
                    <a:shade val="94000"/>
                    <a:satMod val="135000"/>
                  </a:srgbClr>
                </a:gs>
              </a:gsLst>
              <a:lin ang="16200000" scaled="0"/>
            </a:gradFill>
            <a:effectLst>
              <a:outerShdw blurRad="40000" dist="23000" dir="5400000" rotWithShape="0">
                <a:srgbClr val="4F81BD">
                  <a:alpha val="35000"/>
                </a:srgbClr>
              </a:outerShdw>
            </a:effectLst>
          </c:spPr>
          <c:explosion val="11"/>
          <c:dPt>
            <c:idx val="0"/>
            <c:spPr>
              <a:gradFill rotWithShape="1">
                <a:gsLst>
                  <a:gs pos="0">
                    <a:srgbClr val="2C5D98">
                      <a:shade val="51000"/>
                      <a:satMod val="130000"/>
                    </a:srgbClr>
                  </a:gs>
                  <a:gs pos="80000">
                    <a:srgbClr val="3C7BC7">
                      <a:shade val="93000"/>
                      <a:satMod val="130000"/>
                    </a:srgbClr>
                  </a:gs>
                  <a:gs pos="100000">
                    <a:srgbClr val="3A7CCB">
                      <a:shade val="94000"/>
                      <a:satMod val="135000"/>
                    </a:srgbClr>
                  </a:gs>
                </a:gsLst>
                <a:lin ang="16200000" scaled="0"/>
              </a:gradFill>
              <a:ln>
                <a:noFill/>
              </a:ln>
              <a:effectLst>
                <a:outerShdw blurRad="40000" dist="23000" dir="5400000" rotWithShape="0">
                  <a:srgbClr val="4F81BD">
                    <a:alpha val="35000"/>
                  </a:srgbClr>
                </a:outerShdw>
              </a:effectLst>
            </c:spPr>
          </c:dPt>
          <c:dPt>
            <c:idx val="1"/>
            <c:spPr>
              <a:gradFill rotWithShape="1">
                <a:gsLst>
                  <a:gs pos="0">
                    <a:srgbClr val="9B2D2A">
                      <a:shade val="51000"/>
                      <a:satMod val="130000"/>
                    </a:srgbClr>
                  </a:gs>
                  <a:gs pos="80000">
                    <a:srgbClr val="CB3D3A">
                      <a:shade val="93000"/>
                      <a:satMod val="130000"/>
                    </a:srgbClr>
                  </a:gs>
                  <a:gs pos="100000">
                    <a:srgbClr val="CE3B37">
                      <a:shade val="94000"/>
                      <a:satMod val="135000"/>
                    </a:srgbClr>
                  </a:gs>
                </a:gsLst>
                <a:lin ang="16200000" scaled="0"/>
              </a:gradFill>
              <a:ln>
                <a:noFill/>
              </a:ln>
              <a:effectLst>
                <a:outerShdw blurRad="40000" dist="23000" dir="5400000" rotWithShape="0">
                  <a:srgbClr val="C0504D">
                    <a:alpha val="35000"/>
                  </a:srgbClr>
                </a:outerShdw>
              </a:effectLst>
            </c:spPr>
          </c:dPt>
          <c:dLbls>
            <c:dLbl>
              <c:idx val="0"/>
              <c:tx>
                <c:rich>
                  <a:bodyPr rot="0" vertOverflow="ellipsis" anchor="ctr" anchorCtr="1"/>
                  <a:lstStyle/>
                  <a:p>
                    <a:pPr algn="ctr" defTabSz="914400">
                      <a:defRPr sz="900" b="0" i="0" u="none" strike="noStrike" kern="1200">
                        <a:solidFill>
                          <a:srgbClr val="1F497D"/>
                        </a:solidFill>
                        <a:latin typeface="+mn-lt"/>
                        <a:ea typeface="+mn-ea"/>
                        <a:cs typeface="+mn-cs"/>
                      </a:defRPr>
                    </a:pPr>
                    <a:r>
                      <a:rPr sz="900" b="0" i="0" u="none" strike="noStrike" kern="1200" cap="none" normalizeH="0" baseline="0">
                        <a:solidFill>
                          <a:srgbClr val="666699"/>
                        </a:solidFill>
                        <a:effectLst/>
                        <a:latin typeface="宋体" pitchFamily="7" charset="-122"/>
                        <a:ea typeface="宋体" pitchFamily="7" charset="-122"/>
                        <a:cs typeface="宋体" pitchFamily="7" charset="-122"/>
                      </a:rPr>
                      <a:t>39</a:t>
                    </a:r>
                    <a:r>
                      <a:rPr lang="en-US" altLang="zh-CN" sz="900" b="0" i="0" u="none" strike="noStrike" kern="1200" cap="none" normalizeH="0" baseline="0">
                        <a:solidFill>
                          <a:srgbClr val="666699"/>
                        </a:solidFill>
                        <a:effectLst/>
                        <a:latin typeface="Arial" pitchFamily="2" charset="0"/>
                        <a:ea typeface="Arial" pitchFamily="2" charset="0"/>
                        <a:cs typeface="Arial" pitchFamily="2" charset="0"/>
                      </a:rPr>
                      <a:t>.03</a:t>
                    </a:r>
                    <a:r>
                      <a:rPr sz="900" b="0" i="0" u="none" strike="noStrike" kern="1200" cap="none" normalizeH="0" baseline="0">
                        <a:solidFill>
                          <a:srgbClr val="666699"/>
                        </a:solidFill>
                        <a:effectLst/>
                        <a:latin typeface="Arial" pitchFamily="2" charset="0"/>
                        <a:ea typeface="Arial" pitchFamily="2" charset="0"/>
                        <a:cs typeface="Arial" pitchFamily="2" charset="0"/>
                      </a:rPr>
                      <a:t>%</a:t>
                    </a:r>
                    <a:endParaRPr sz="900" b="0" i="0" u="none" strike="noStrike" kern="1200" cap="none" normalizeH="0" baseline="0">
                      <a:solidFill>
                        <a:srgbClr val="666699"/>
                      </a:solidFill>
                      <a:effectLst/>
                      <a:latin typeface="宋体" pitchFamily="7" charset="-122"/>
                      <a:ea typeface="宋体" pitchFamily="7" charset="-122"/>
                      <a:cs typeface="宋体" pitchFamily="7" charset="-122"/>
                    </a:endParaRPr>
                  </a:p>
                  <a:p>
                    <a:pPr algn="ctr" defTabSz="914400">
                      <a:defRPr sz="900" b="0" i="0" u="none" strike="noStrike" kern="1200">
                        <a:solidFill>
                          <a:srgbClr val="1F497D"/>
                        </a:solidFill>
                        <a:latin typeface="+mn-lt"/>
                        <a:ea typeface="+mn-ea"/>
                        <a:cs typeface="+mn-cs"/>
                      </a:defRPr>
                    </a:pPr>
                    <a:r>
                      <a:rPr sz="900" b="0" i="0" u="none" strike="noStrike" kern="1200" cap="none" normalizeH="0" baseline="0">
                        <a:solidFill>
                          <a:srgbClr val="666699"/>
                        </a:solidFill>
                        <a:effectLst/>
                        <a:latin typeface="宋体" pitchFamily="7" charset="-122"/>
                        <a:ea typeface="宋体" pitchFamily="7" charset="-122"/>
                        <a:cs typeface="宋体" pitchFamily="7" charset="-122"/>
                      </a:rPr>
                      <a:t>（7</a:t>
                    </a:r>
                    <a:r>
                      <a:rPr lang="en-US" altLang="zh-CN" sz="900" b="0" i="0" u="none" strike="noStrike" kern="1200" cap="none" normalizeH="0" baseline="0">
                        <a:solidFill>
                          <a:srgbClr val="666699"/>
                        </a:solidFill>
                        <a:effectLst/>
                        <a:latin typeface="Arial" pitchFamily="2" charset="0"/>
                        <a:ea typeface="Arial" pitchFamily="2" charset="0"/>
                        <a:cs typeface="Arial" pitchFamily="2" charset="0"/>
                      </a:rPr>
                      <a:t>71</a:t>
                    </a:r>
                    <a:r>
                      <a:rPr sz="900" b="0" i="0" u="none" strike="noStrike" kern="1200" cap="none" normalizeH="0" baseline="0">
                        <a:solidFill>
                          <a:srgbClr val="666699"/>
                        </a:solidFill>
                        <a:effectLst/>
                        <a:latin typeface="宋体" pitchFamily="7" charset="-122"/>
                        <a:ea typeface="宋体" pitchFamily="7" charset="-122"/>
                        <a:cs typeface="宋体" pitchFamily="7" charset="-122"/>
                      </a:rPr>
                      <a:t>人）</a:t>
                    </a:r>
                    <a:endParaRPr sz="1200" b="0" i="0" u="none" strike="noStrike" kern="1200" cap="none" normalizeH="0" baseline="0">
                      <a:solidFill>
                        <a:srgbClr val="9CCD90"/>
                      </a:solidFill>
                      <a:effectLst/>
                      <a:latin typeface="宋体" pitchFamily="7" charset="-122"/>
                      <a:ea typeface="宋体" pitchFamily="7" charset="-122"/>
                      <a:cs typeface="宋体" pitchFamily="7" charset="-122"/>
                    </a:endParaRPr>
                  </a:p>
                </c:rich>
              </c:tx>
              <c:spPr/>
              <c:dLblPos val="ctr"/>
              <c:showVal val="1"/>
              <c:showPercent val="1"/>
              <c:extLst>
                <c:ext xmlns:c15="http://schemas.microsoft.com/office/drawing/2012/chart" uri="{CE6537A1-D6FC-4f65-9D91-7224C49458BB}"/>
              </c:extLst>
            </c:dLbl>
            <c:dLbl>
              <c:idx val="1"/>
              <c:tx>
                <c:rich>
                  <a:bodyPr rot="0" vertOverflow="ellipsis" anchor="ctr" anchorCtr="1"/>
                  <a:lstStyle/>
                  <a:p>
                    <a:pPr algn="ctr" defTabSz="914400">
                      <a:defRPr sz="900" b="0" i="0" u="none" strike="noStrike" kern="1200">
                        <a:solidFill>
                          <a:srgbClr val="1F497D"/>
                        </a:solidFill>
                        <a:latin typeface="+mn-lt"/>
                        <a:ea typeface="+mn-ea"/>
                        <a:cs typeface="+mn-cs"/>
                      </a:defRPr>
                    </a:pPr>
                    <a:r>
                      <a:rPr sz="900" b="0" i="0" u="none" strike="noStrike" kern="1200" cap="none" normalizeH="0" baseline="0">
                        <a:solidFill>
                          <a:srgbClr val="666699"/>
                        </a:solidFill>
                        <a:effectLst/>
                        <a:latin typeface="宋体" pitchFamily="7" charset="-122"/>
                        <a:ea typeface="宋体" pitchFamily="7" charset="-122"/>
                        <a:cs typeface="宋体" pitchFamily="7" charset="-122"/>
                      </a:rPr>
                      <a:t>6</a:t>
                    </a:r>
                    <a:r>
                      <a:rPr lang="en-US" altLang="zh-CN" sz="900" b="0" i="0" u="none" strike="noStrike" kern="1200" cap="none" normalizeH="0" baseline="0">
                        <a:solidFill>
                          <a:srgbClr val="666699"/>
                        </a:solidFill>
                        <a:effectLst/>
                        <a:latin typeface="Arial" pitchFamily="2" charset="0"/>
                        <a:ea typeface="Arial" pitchFamily="2" charset="0"/>
                        <a:cs typeface="Arial" pitchFamily="2" charset="0"/>
                      </a:rPr>
                      <a:t>0.9</a:t>
                    </a:r>
                    <a:r>
                      <a:rPr sz="900" b="0" i="0" u="none" strike="noStrike" kern="1200" cap="none" normalizeH="0" baseline="0">
                        <a:solidFill>
                          <a:srgbClr val="666699"/>
                        </a:solidFill>
                        <a:effectLst/>
                        <a:latin typeface="Arial" pitchFamily="2" charset="0"/>
                        <a:ea typeface="Arial" pitchFamily="2" charset="0"/>
                        <a:cs typeface="Arial" pitchFamily="2" charset="0"/>
                      </a:rPr>
                      <a:t>%</a:t>
                    </a:r>
                    <a:endParaRPr sz="900" b="0" i="0" u="none" strike="noStrike" kern="1200" cap="none" normalizeH="0" baseline="0">
                      <a:solidFill>
                        <a:srgbClr val="666699"/>
                      </a:solidFill>
                      <a:effectLst/>
                      <a:latin typeface="宋体" pitchFamily="7" charset="-122"/>
                      <a:ea typeface="宋体" pitchFamily="7" charset="-122"/>
                      <a:cs typeface="宋体" pitchFamily="7" charset="-122"/>
                    </a:endParaRPr>
                  </a:p>
                  <a:p>
                    <a:pPr algn="ctr" defTabSz="914400">
                      <a:defRPr sz="900" b="0" i="0" u="none" strike="noStrike" kern="1200">
                        <a:solidFill>
                          <a:srgbClr val="1F497D"/>
                        </a:solidFill>
                        <a:latin typeface="+mn-lt"/>
                        <a:ea typeface="+mn-ea"/>
                        <a:cs typeface="+mn-cs"/>
                      </a:defRPr>
                    </a:pPr>
                    <a:r>
                      <a:rPr sz="900" b="0" i="0" u="none" strike="noStrike" kern="1200" cap="none" normalizeH="0" baseline="0">
                        <a:solidFill>
                          <a:srgbClr val="666699"/>
                        </a:solidFill>
                        <a:effectLst/>
                        <a:latin typeface="宋体" pitchFamily="7" charset="-122"/>
                        <a:ea typeface="宋体" pitchFamily="7" charset="-122"/>
                        <a:cs typeface="宋体" pitchFamily="7" charset="-122"/>
                      </a:rPr>
                      <a:t>（12</a:t>
                    </a:r>
                    <a:r>
                      <a:rPr lang="en-US" altLang="zh-CN" sz="900" b="0" i="0" u="none" strike="noStrike" kern="1200" cap="none" normalizeH="0" baseline="0">
                        <a:solidFill>
                          <a:srgbClr val="666699"/>
                        </a:solidFill>
                        <a:effectLst/>
                        <a:latin typeface="宋体" pitchFamily="7" charset="-122"/>
                        <a:ea typeface="宋体" pitchFamily="7" charset="-122"/>
                        <a:cs typeface="宋体" pitchFamily="7" charset="-122"/>
                      </a:rPr>
                      <a:t>0</a:t>
                    </a:r>
                    <a:r>
                      <a:rPr sz="900" b="0" i="0" u="none" strike="noStrike" kern="1200" cap="none" normalizeH="0" baseline="0">
                        <a:solidFill>
                          <a:srgbClr val="666699"/>
                        </a:solidFill>
                        <a:effectLst/>
                        <a:latin typeface="Arial" pitchFamily="2" charset="0"/>
                        <a:ea typeface="Arial" pitchFamily="2" charset="0"/>
                        <a:cs typeface="Arial" pitchFamily="2" charset="0"/>
                      </a:rPr>
                      <a:t>4</a:t>
                    </a:r>
                    <a:r>
                      <a:rPr sz="900" b="0" i="0" u="none" strike="noStrike" kern="1200" cap="none" normalizeH="0" baseline="0">
                        <a:solidFill>
                          <a:srgbClr val="666699"/>
                        </a:solidFill>
                        <a:effectLst/>
                        <a:latin typeface="宋体" pitchFamily="7" charset="-122"/>
                        <a:ea typeface="宋体" pitchFamily="7" charset="-122"/>
                        <a:cs typeface="宋体" pitchFamily="7" charset="-122"/>
                      </a:rPr>
                      <a:t>人）</a:t>
                    </a:r>
                  </a:p>
                </c:rich>
              </c:tx>
              <c:spPr/>
              <c:dLblPos val="ctr"/>
              <c:showVal val="1"/>
              <c:showPercent val="1"/>
              <c:extLst>
                <c:ext xmlns:c15="http://schemas.microsoft.com/office/drawing/2012/chart" uri="{CE6537A1-D6FC-4f65-9D91-7224C49458BB}"/>
              </c:extLst>
            </c:dLbl>
            <c:numFmt formatCode="0%" sourceLinked="0"/>
            <c:txPr>
              <a:bodyPr rot="0" spcFirstLastPara="0" vertOverflow="ellipsis" horzOverflow="overflow" vert="horz" wrap="square" anchor="ctr" anchorCtr="1"/>
              <a:lstStyle/>
              <a:p>
                <a:pPr>
                  <a:defRPr sz="900" b="0" kern="1200">
                    <a:solidFill>
                      <a:srgbClr val="1F497D"/>
                    </a:solidFill>
                    <a:latin typeface="+mn-lt"/>
                    <a:ea typeface="+mn-ea"/>
                    <a:cs typeface="+mn-cs"/>
                  </a:defRPr>
                </a:pPr>
                <a:endParaRPr lang="zh-CN"/>
              </a:p>
            </c:txPr>
            <c:dLblPos val="ctr"/>
            <c:showVal val="1"/>
            <c:showPercent val="1"/>
            <c:showLeaderLines val="1"/>
            <c:extLst>
              <c:ext xmlns:c15="http://schemas.microsoft.com/office/drawing/2012/chart" uri="{CE6537A1-D6FC-4f65-9D91-7224C49458BB}">
                <c15:layout/>
                <c15:showLeaderLines val="1"/>
                <c15:leaderLines>
                  <c:spPr>
                    <a:noFill/>
                    <a:ln w="9525" cap="flat" cmpd="sng" algn="ctr">
                      <a:solidFill>
                        <a:srgbClr val="C0C0C0">
                          <a:alpha val="100000"/>
                        </a:srgbClr>
                      </a:solidFill>
                      <a:prstDash val="solid"/>
                    </a:ln>
                    <a:effectLst/>
                  </c:spPr>
                </c15:leaderLines>
              </c:ext>
            </c:extLst>
          </c:dLbls>
          <c:cat>
            <c:strRef>
              <c:f>[2015届毕业生男女生性别比例.xls]Sheet1!$B$2:$B$3</c:f>
              <c:strCache>
                <c:ptCount val="2"/>
                <c:pt idx="0">
                  <c:v>男</c:v>
                </c:pt>
                <c:pt idx="1">
                  <c:v>女</c:v>
                </c:pt>
              </c:strCache>
            </c:strRef>
          </c:cat>
          <c:val>
            <c:numRef>
              <c:f>[2015届毕业生男女生性别比例.xls]Sheet1!$C$2:$C$3</c:f>
              <c:numCache>
                <c:formatCode>General</c:formatCode>
                <c:ptCount val="2"/>
                <c:pt idx="0">
                  <c:v>771</c:v>
                </c:pt>
                <c:pt idx="1">
                  <c:v>1204</c:v>
                </c:pt>
              </c:numCache>
            </c:numRef>
          </c:val>
        </c:ser>
        <c:firstSliceAng val="0"/>
      </c:pieChart>
      <c:spPr>
        <a:noFill/>
        <a:ln>
          <a:noFill/>
        </a:ln>
        <a:effectLst/>
      </c:spPr>
    </c:plotArea>
    <c:legend>
      <c:legendPos val="r"/>
      <c:layout>
        <c:manualLayout>
          <c:xMode val="edge"/>
          <c:yMode val="edge"/>
          <c:x val="0.82050000000000001"/>
          <c:y val="0.40475"/>
          <c:w val="0.12444444444444402"/>
          <c:h val="0.12451385524428403"/>
        </c:manualLayout>
      </c:layout>
      <c:spPr>
        <a:noFill/>
        <a:ln>
          <a:noFill/>
        </a:ln>
        <a:effectLst/>
      </c:spPr>
      <c:txPr>
        <a:bodyPr rot="0" spcFirstLastPara="0" vertOverflow="ellipsis" horzOverflow="overflow" vert="horz" wrap="square" anchor="ctr" anchorCtr="1"/>
        <a:lstStyle/>
        <a:p>
          <a:pPr>
            <a:defRPr sz="900" b="0" kern="1200">
              <a:solidFill>
                <a:srgbClr val="1F497D"/>
              </a:solidFill>
              <a:latin typeface="+mn-lt"/>
              <a:ea typeface="+mn-ea"/>
              <a:cs typeface="+mn-cs"/>
            </a:defRPr>
          </a:pPr>
          <a:endParaRPr lang="zh-CN"/>
        </a:p>
      </c:txPr>
    </c:legend>
    <c:plotVisOnly val="1"/>
    <c:dispBlanksAs val="zero"/>
  </c:chart>
  <c:spPr>
    <a:solidFill>
      <a:srgbClr val="FFFFFF"/>
    </a:solidFill>
    <a:ln w="9525" cap="flat" cmpd="sng" algn="ctr">
      <a:solidFill>
        <a:srgbClr val="D4E3F4">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a:latin typeface="宋体" pitchFamily="7" charset="-122"/>
          <a:ea typeface="宋体" pitchFamily="7" charset="-122"/>
          <a:cs typeface="宋体" pitchFamily="7" charset="-122"/>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[各学部就业率表.xls]Sheet1!$A$3</c:f>
              <c:strCache>
                <c:ptCount val="1"/>
                <c:pt idx="0">
                  <c:v>年终就业率</c:v>
                </c:pt>
              </c:strCache>
            </c:strRef>
          </c:tx>
          <c:spPr>
            <a:solidFill>
              <a:srgbClr val="4F81BD"/>
            </a:solidFill>
            <a:ln>
              <a:noFill/>
            </a:ln>
            <a:effectLst/>
          </c:spPr>
          <c:cat>
            <c:strRef>
              <c:f>[各学部就业率表.xls]Sheet1!$B$2:$G$2</c:f>
              <c:strCache>
                <c:ptCount val="6"/>
                <c:pt idx="0">
                  <c:v>人文学部</c:v>
                </c:pt>
                <c:pt idx="1">
                  <c:v>理学部</c:v>
                </c:pt>
                <c:pt idx="2">
                  <c:v>经济与管理学部</c:v>
                </c:pt>
                <c:pt idx="3">
                  <c:v>信息科学部</c:v>
                </c:pt>
                <c:pt idx="4">
                  <c:v>工程学部</c:v>
                </c:pt>
                <c:pt idx="5">
                  <c:v>医学部</c:v>
                </c:pt>
              </c:strCache>
            </c:strRef>
          </c:cat>
          <c:val>
            <c:numRef>
              <c:f>[各学部就业率表.xls]Sheet1!$B$3:$G$3</c:f>
              <c:numCache>
                <c:formatCode>0%</c:formatCode>
                <c:ptCount val="6"/>
                <c:pt idx="0">
                  <c:v>1</c:v>
                </c:pt>
                <c:pt idx="1">
                  <c:v>1</c:v>
                </c:pt>
                <c:pt idx="2">
                  <c:v>1</c:v>
                </c:pt>
                <c:pt idx="3" formatCode="0.00%">
                  <c:v>0.98699999999999999</c:v>
                </c:pt>
                <c:pt idx="4" formatCode="0.00%">
                  <c:v>0.99009999999999998</c:v>
                </c:pt>
                <c:pt idx="5" formatCode="0.00%">
                  <c:v>0.94080000000000019</c:v>
                </c:pt>
              </c:numCache>
            </c:numRef>
          </c:val>
        </c:ser>
        <c:gapWidth val="219"/>
        <c:overlap val="-27"/>
        <c:axId val="150244736"/>
        <c:axId val="150332160"/>
      </c:barChart>
      <c:catAx>
        <c:axId val="150244736"/>
        <c:scaling>
          <c:orientation val="minMax"/>
        </c:scaling>
        <c:axPos val="b"/>
        <c:numFmt formatCode="General" sourceLinked="1"/>
        <c:majorTickMark val="in"/>
        <c:tickLblPos val="nextTo"/>
        <c:spPr>
          <a:noFill/>
          <a:ln w="9525" cap="flat" cmpd="sng" algn="ctr">
            <a:solidFill>
              <a:srgbClr val="D9D9D9">
                <a:lumMod val="15000"/>
                <a:lumOff val="85000"/>
              </a:srgbClr>
            </a:solidFill>
            <a:round/>
          </a:ln>
          <a:effectLst/>
        </c:spPr>
        <c:txPr>
          <a:bodyPr rot="-6000000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0332160"/>
        <c:crosses val="autoZero"/>
        <c:auto val="1"/>
        <c:lblAlgn val="ctr"/>
        <c:lblOffset val="100"/>
        <c:tickMarkSkip val="1"/>
      </c:catAx>
      <c:valAx>
        <c:axId val="150332160"/>
        <c:scaling>
          <c:orientation val="minMax"/>
        </c:scaling>
        <c:axPos val="l"/>
        <c:majorGridlines>
          <c:spPr>
            <a:ln w="9525" cap="flat" cmpd="sng" algn="ctr">
              <a:solidFill>
                <a:srgbClr val="D9D9D9">
                  <a:lumMod val="15000"/>
                  <a:lumOff val="85000"/>
                </a:srgbClr>
              </a:solidFill>
              <a:round/>
            </a:ln>
            <a:effectLst/>
          </c:spPr>
        </c:majorGridlines>
        <c:numFmt formatCode="0%" sourceLinked="1"/>
        <c:majorTickMark val="in"/>
        <c:tickLblPos val="nextTo"/>
        <c:spPr>
          <a:noFill/>
          <a:ln>
            <a:noFill/>
          </a:ln>
          <a:effectLst/>
        </c:spPr>
        <c:txPr>
          <a:bodyPr rot="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0244736"/>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[各学部男女就业率.xls]Sheet1!$B$3</c:f>
              <c:strCache>
                <c:ptCount val="1"/>
                <c:pt idx="0">
                  <c:v>男</c:v>
                </c:pt>
              </c:strCache>
            </c:strRef>
          </c:tx>
          <c:spPr>
            <a:solidFill>
              <a:srgbClr val="4F81BD"/>
            </a:solidFill>
            <a:ln>
              <a:noFill/>
            </a:ln>
            <a:effectLst/>
          </c:spPr>
          <c:cat>
            <c:strRef>
              <c:f>[各学部男女就业率.xls]Sheet1!$C$2:$H$2</c:f>
              <c:strCache>
                <c:ptCount val="6"/>
                <c:pt idx="0">
                  <c:v>人文学部</c:v>
                </c:pt>
                <c:pt idx="1">
                  <c:v>理学部</c:v>
                </c:pt>
                <c:pt idx="2">
                  <c:v>经管学部</c:v>
                </c:pt>
                <c:pt idx="3">
                  <c:v>信科学部</c:v>
                </c:pt>
                <c:pt idx="4">
                  <c:v>工程学部</c:v>
                </c:pt>
                <c:pt idx="5">
                  <c:v>医学部</c:v>
                </c:pt>
              </c:strCache>
            </c:strRef>
          </c:cat>
          <c:val>
            <c:numRef>
              <c:f>[各学部男女就业率.xls]Sheet1!$C$3:$H$3</c:f>
              <c:numCache>
                <c:formatCode>0%</c:formatCode>
                <c:ptCount val="6"/>
                <c:pt idx="0">
                  <c:v>1</c:v>
                </c:pt>
                <c:pt idx="1">
                  <c:v>1</c:v>
                </c:pt>
                <c:pt idx="2">
                  <c:v>1</c:v>
                </c:pt>
                <c:pt idx="3" formatCode="0.00%">
                  <c:v>0.98149999999999982</c:v>
                </c:pt>
                <c:pt idx="4" formatCode="0.00%">
                  <c:v>0.98089999999999999</c:v>
                </c:pt>
                <c:pt idx="5" formatCode="0.00%">
                  <c:v>0.90790000000000004</c:v>
                </c:pt>
              </c:numCache>
            </c:numRef>
          </c:val>
        </c:ser>
        <c:ser>
          <c:idx val="1"/>
          <c:order val="1"/>
          <c:tx>
            <c:strRef>
              <c:f>[各学部男女就业率.xls]Sheet1!$B$4</c:f>
              <c:strCache>
                <c:ptCount val="1"/>
                <c:pt idx="0">
                  <c:v>女</c:v>
                </c:pt>
              </c:strCache>
            </c:strRef>
          </c:tx>
          <c:spPr>
            <a:solidFill>
              <a:srgbClr val="C0504D"/>
            </a:solidFill>
            <a:ln>
              <a:noFill/>
            </a:ln>
            <a:effectLst/>
          </c:spPr>
          <c:cat>
            <c:strRef>
              <c:f>[各学部男女就业率.xls]Sheet1!$C$2:$H$2</c:f>
              <c:strCache>
                <c:ptCount val="6"/>
                <c:pt idx="0">
                  <c:v>人文学部</c:v>
                </c:pt>
                <c:pt idx="1">
                  <c:v>理学部</c:v>
                </c:pt>
                <c:pt idx="2">
                  <c:v>经管学部</c:v>
                </c:pt>
                <c:pt idx="3">
                  <c:v>信科学部</c:v>
                </c:pt>
                <c:pt idx="4">
                  <c:v>工程学部</c:v>
                </c:pt>
                <c:pt idx="5">
                  <c:v>医学部</c:v>
                </c:pt>
              </c:strCache>
            </c:strRef>
          </c:cat>
          <c:val>
            <c:numRef>
              <c:f>[各学部男女就业率.xls]Sheet1!$C$4:$H$4</c:f>
              <c:numCache>
                <c:formatCode>0%</c:formatCode>
                <c:ptCount val="6"/>
                <c:pt idx="0">
                  <c:v>1</c:v>
                </c:pt>
                <c:pt idx="1">
                  <c:v>1</c:v>
                </c:pt>
                <c:pt idx="2">
                  <c:v>1</c:v>
                </c:pt>
                <c:pt idx="3">
                  <c:v>1</c:v>
                </c:pt>
                <c:pt idx="4">
                  <c:v>1</c:v>
                </c:pt>
                <c:pt idx="5" formatCode="0.00%">
                  <c:v>0.96250000000000002</c:v>
                </c:pt>
              </c:numCache>
            </c:numRef>
          </c:val>
        </c:ser>
        <c:gapWidth val="219"/>
        <c:overlap val="-27"/>
        <c:axId val="153185280"/>
        <c:axId val="153191168"/>
      </c:barChart>
      <c:catAx>
        <c:axId val="153185280"/>
        <c:scaling>
          <c:orientation val="minMax"/>
        </c:scaling>
        <c:axPos val="b"/>
        <c:numFmt formatCode="General" sourceLinked="1"/>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191168"/>
        <c:crosses val="autoZero"/>
        <c:auto val="1"/>
        <c:lblAlgn val="ctr"/>
        <c:lblOffset val="100"/>
        <c:tickMarkSkip val="1"/>
      </c:catAx>
      <c:valAx>
        <c:axId val="153191168"/>
        <c:scaling>
          <c:orientation val="minMax"/>
        </c:scaling>
        <c:axPos val="l"/>
        <c:majorGridlines>
          <c:spPr>
            <a:ln w="9525" cap="flat" cmpd="sng" algn="ctr">
              <a:solidFill>
                <a:srgbClr val="D9D9D9">
                  <a:lumMod val="15000"/>
                  <a:lumOff val="85000"/>
                </a:srgbClr>
              </a:solidFill>
              <a:prstDash val="solid"/>
              <a:round/>
            </a:ln>
            <a:effectLst/>
          </c:spPr>
        </c:majorGridlines>
        <c:numFmt formatCode="0%" sourceLinked="1"/>
        <c:majorTickMark val="none"/>
        <c:tickLblPos val="nextTo"/>
        <c:spPr>
          <a:noFill/>
          <a:ln w="9525">
            <a:noFill/>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185280"/>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spPr>
            <a:solidFill>
              <a:srgbClr val="4F81BD"/>
            </a:solidFill>
            <a:effectLst/>
          </c:spPr>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Pt>
            <c:idx val="3"/>
            <c:spPr>
              <a:solidFill>
                <a:srgbClr val="8064A2"/>
              </a:solidFill>
              <a:ln w="19050">
                <a:solidFill>
                  <a:srgbClr val="FFFFFF"/>
                </a:solidFill>
              </a:ln>
              <a:effectLst/>
            </c:spPr>
          </c:dPt>
          <c:dLbls>
            <c:dLbl>
              <c:idx val="0"/>
              <c:layout>
                <c:manualLayout>
                  <c:x val="0"/>
                  <c:y val="-0.12152777777777803"/>
                </c:manualLayout>
              </c:layout>
              <c:tx>
                <c:rich>
                  <a:bodyPr rot="0" vertOverflow="ellipsis" anchor="ctr" anchorCtr="1"/>
                  <a:lstStyle/>
                  <a:p>
                    <a:pPr algn="ctr" defTabSz="914400">
                      <a:defRPr sz="900" b="1" i="0" u="none" strike="noStrike" kern="1200">
                        <a:solidFill>
                          <a:srgbClr val="404040">
                            <a:lumMod val="75000"/>
                            <a:lumOff val="25000"/>
                          </a:srgbClr>
                        </a:solidFill>
                        <a:latin typeface="+mn-lt"/>
                        <a:ea typeface="+mn-ea"/>
                        <a:cs typeface="+mn-cs"/>
                      </a:defRPr>
                    </a:pPr>
                    <a:r>
                      <a:rPr b="1"/>
                      <a:t>91.54%</a:t>
                    </a:r>
                    <a:endParaRPr sz="900" b="1" i="0" u="none" strike="noStrike" kern="1200" cap="none" normalizeH="0" baseline="0">
                      <a:solidFill>
                        <a:srgbClr val="404040">
                          <a:lumMod val="75000"/>
                          <a:lumOff val="25000"/>
                        </a:srgbClr>
                      </a:solidFill>
                      <a:effectLst/>
                      <a:latin typeface="+mn-lt"/>
                      <a:ea typeface="+mn-ea"/>
                      <a:cs typeface="+mn-cs"/>
                    </a:endParaRPr>
                  </a:p>
                </c:rich>
              </c:tx>
              <c:spPr/>
              <c:dLblPos val="bestFit"/>
              <c:showVal val="1"/>
              <c:extLst>
                <c:ext xmlns:c15="http://schemas.microsoft.com/office/drawing/2012/chart" uri="{CE6537A1-D6FC-4f65-9D91-7224C49458BB}">
                  <c15:layout/>
                </c:ext>
              </c:extLst>
            </c:dLbl>
            <c:dLbl>
              <c:idx val="1"/>
              <c:layout>
                <c:manualLayout>
                  <c:x val="-2.7083333333333317E-2"/>
                  <c:y val="5.5555555555555594E-2"/>
                </c:manualLayout>
              </c:layout>
              <c:spPr/>
              <c:txPr>
                <a:bodyPr/>
                <a:lstStyle/>
                <a:p>
                  <a:pPr>
                    <a:defRPr/>
                  </a:pPr>
                  <a:endParaRPr lang="zh-CN"/>
                </a:p>
              </c:txPr>
              <c:dLblPos val="bestFit"/>
              <c:showVal val="1"/>
              <c:extLst>
                <c:ext xmlns:c15="http://schemas.microsoft.com/office/drawing/2012/chart" uri="{CE6537A1-D6FC-4f65-9D91-7224C49458BB}">
                  <c15:layout/>
                </c:ext>
              </c:extLst>
            </c:dLbl>
            <c:dLbl>
              <c:idx val="2"/>
              <c:layout>
                <c:manualLayout>
                  <c:x val="-2.5000000000000008E-2"/>
                  <c:y val="2.0833333333333304E-2"/>
                </c:manualLayout>
              </c:layout>
              <c:spPr/>
              <c:txPr>
                <a:bodyPr/>
                <a:lstStyle/>
                <a:p>
                  <a:pPr>
                    <a:defRPr/>
                  </a:pPr>
                  <a:endParaRPr lang="zh-CN"/>
                </a:p>
              </c:txPr>
              <c:dLblPos val="bestFit"/>
              <c:showVal val="1"/>
              <c:extLst>
                <c:ext xmlns:c15="http://schemas.microsoft.com/office/drawing/2012/chart" uri="{CE6537A1-D6FC-4f65-9D91-7224C49458BB}">
                  <c15:layout/>
                </c:ext>
              </c:extLst>
            </c:dLbl>
            <c:dLbl>
              <c:idx val="3"/>
              <c:layout>
                <c:manualLayout>
                  <c:x val="1.8750000000000003E-2"/>
                  <c:y val="3.8562883093659309E-2"/>
                </c:manualLayout>
              </c:layout>
              <c:spPr/>
              <c:txPr>
                <a:bodyPr/>
                <a:lstStyle/>
                <a:p>
                  <a:pPr>
                    <a:defRPr/>
                  </a:pPr>
                  <a:endParaRPr lang="zh-CN"/>
                </a:p>
              </c:txPr>
              <c:dLblPos val="bestFit"/>
              <c:showVal val="1"/>
              <c:extLst>
                <c:ext xmlns:c15="http://schemas.microsoft.com/office/drawing/2012/chart" uri="{CE6537A1-D6FC-4f65-9D91-7224C49458BB}">
                  <c15:layout/>
                </c:ext>
              </c:extLst>
            </c:dLbl>
            <c:txPr>
              <a:bodyPr rot="0" spcFirstLastPara="0" vertOverflow="ellipsis" horzOverflow="overflow" vert="horz" wrap="square" anchor="ctr" anchorCtr="1"/>
              <a:lstStyle/>
              <a:p>
                <a:pPr>
                  <a:defRPr sz="900" b="0" kern="120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noFill/>
                    <a:ln w="9525" cap="flat" cmpd="sng" algn="ctr">
                      <a:solidFill>
                        <a:srgbClr val="969696">
                          <a:alpha val="100000"/>
                        </a:srgbClr>
                      </a:solidFill>
                      <a:prstDash val="solid"/>
                    </a:ln>
                    <a:effectLst/>
                  </c:spPr>
                </c15:leaderLines>
              </c:ext>
            </c:extLst>
          </c:dLbls>
          <c:cat>
            <c:strRef>
              <c:f>[毕业生总体毕业流向.xls]Sheet1!$B$3:$B$6</c:f>
              <c:strCache>
                <c:ptCount val="4"/>
                <c:pt idx="0">
                  <c:v>单位就业率</c:v>
                </c:pt>
                <c:pt idx="1">
                  <c:v>升学出国率</c:v>
                </c:pt>
                <c:pt idx="2">
                  <c:v>灵活就业率</c:v>
                </c:pt>
                <c:pt idx="3">
                  <c:v>未就业率</c:v>
                </c:pt>
              </c:strCache>
            </c:strRef>
          </c:cat>
          <c:val>
            <c:numRef>
              <c:f>[毕业生总体毕业流向.xls]Sheet1!$C$3:$C$6</c:f>
              <c:numCache>
                <c:formatCode>0.00%</c:formatCode>
                <c:ptCount val="4"/>
                <c:pt idx="0">
                  <c:v>0.91539999999999999</c:v>
                </c:pt>
                <c:pt idx="1">
                  <c:v>3.8000000000000006E-2</c:v>
                </c:pt>
                <c:pt idx="2">
                  <c:v>2.5800000000000007E-2</c:v>
                </c:pt>
                <c:pt idx="3">
                  <c:v>2.0800000000000006E-2</c:v>
                </c:pt>
              </c:numCache>
            </c:numRef>
          </c:val>
        </c:ser>
        <c:firstSliceAng val="0"/>
      </c:pieChart>
      <c:spPr>
        <a:noFill/>
        <a:ln>
          <a:noFill/>
        </a:ln>
        <a:effectLst/>
      </c:spPr>
    </c:plotArea>
    <c:legend>
      <c:legendPos val="r"/>
      <c:spPr>
        <a:noFill/>
        <a:ln>
          <a:noFill/>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kern="1200">
          <a:solidFill>
            <a:srgbClr val="000000"/>
          </a:solidFill>
          <a:latin typeface="+mn-lt"/>
          <a:ea typeface="+mn-ea"/>
          <a:cs typeface="+mn-cs"/>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[各学部单位就业率.xls]Sheet1!$B$4</c:f>
              <c:strCache>
                <c:ptCount val="1"/>
                <c:pt idx="0">
                  <c:v>单位就业率</c:v>
                </c:pt>
              </c:strCache>
            </c:strRef>
          </c:tx>
          <c:spPr>
            <a:solidFill>
              <a:srgbClr val="4F81BD"/>
            </a:solidFill>
            <a:ln>
              <a:noFill/>
            </a:ln>
            <a:effectLst/>
          </c:spPr>
          <c:cat>
            <c:strRef>
              <c:f>[各学部单位就业率.xls]Sheet1!$C$3:$H$3</c:f>
              <c:strCache>
                <c:ptCount val="6"/>
                <c:pt idx="0">
                  <c:v>人文学部</c:v>
                </c:pt>
                <c:pt idx="1">
                  <c:v>理学部</c:v>
                </c:pt>
                <c:pt idx="2">
                  <c:v>经管学部</c:v>
                </c:pt>
                <c:pt idx="3">
                  <c:v>信息科学部</c:v>
                </c:pt>
                <c:pt idx="4">
                  <c:v>工程学部</c:v>
                </c:pt>
                <c:pt idx="5">
                  <c:v>医学部</c:v>
                </c:pt>
              </c:strCache>
            </c:strRef>
          </c:cat>
          <c:val>
            <c:numRef>
              <c:f>[各学部单位就业率.xls]Sheet1!$C$4:$H$4</c:f>
              <c:numCache>
                <c:formatCode>0.00%</c:formatCode>
                <c:ptCount val="6"/>
                <c:pt idx="0">
                  <c:v>0.95210000000000017</c:v>
                </c:pt>
                <c:pt idx="1">
                  <c:v>0.95650000000000002</c:v>
                </c:pt>
                <c:pt idx="2">
                  <c:v>0.97630000000000017</c:v>
                </c:pt>
                <c:pt idx="3">
                  <c:v>0.93480000000000019</c:v>
                </c:pt>
                <c:pt idx="4">
                  <c:v>0.9679000000000002</c:v>
                </c:pt>
                <c:pt idx="5">
                  <c:v>0.80660000000000021</c:v>
                </c:pt>
              </c:numCache>
            </c:numRef>
          </c:val>
        </c:ser>
        <c:gapWidth val="219"/>
        <c:overlap val="-27"/>
        <c:axId val="153311872"/>
        <c:axId val="153338240"/>
      </c:barChart>
      <c:catAx>
        <c:axId val="153311872"/>
        <c:scaling>
          <c:orientation val="minMax"/>
        </c:scaling>
        <c:axPos val="b"/>
        <c:numFmt formatCode="General" sourceLinked="1"/>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338240"/>
        <c:crosses val="autoZero"/>
        <c:auto val="1"/>
        <c:lblAlgn val="ctr"/>
        <c:lblOffset val="100"/>
        <c:tickMarkSkip val="1"/>
      </c:catAx>
      <c:valAx>
        <c:axId val="153338240"/>
        <c:scaling>
          <c:orientation val="minMax"/>
        </c:scaling>
        <c:axPos val="l"/>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9525">
            <a:noFill/>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53311872"/>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rgbClr val="4F81BD"/>
            </a:solidFill>
            <a:ln>
              <a:noFill/>
            </a:ln>
            <a:effectLst/>
          </c:spPr>
          <c:cat>
            <c:strRef>
              <c:f>[各学部升学出国率.xls]Sheet1!$B$2:$B$7</c:f>
              <c:strCache>
                <c:ptCount val="6"/>
                <c:pt idx="0">
                  <c:v>人文学部</c:v>
                </c:pt>
                <c:pt idx="1">
                  <c:v>理学部</c:v>
                </c:pt>
                <c:pt idx="2">
                  <c:v>信息科学部</c:v>
                </c:pt>
                <c:pt idx="3">
                  <c:v>经济与管理学部</c:v>
                </c:pt>
                <c:pt idx="4">
                  <c:v>工程学部</c:v>
                </c:pt>
                <c:pt idx="5">
                  <c:v>医学部</c:v>
                </c:pt>
              </c:strCache>
            </c:strRef>
          </c:cat>
          <c:val>
            <c:numRef>
              <c:f>[各学部升学出国率.xls]Sheet1!$C$2:$C$7</c:f>
              <c:numCache>
                <c:formatCode>0.00%</c:formatCode>
                <c:ptCount val="6"/>
                <c:pt idx="0">
                  <c:v>4.7900000000000012E-2</c:v>
                </c:pt>
                <c:pt idx="1">
                  <c:v>3.280000000000001E-2</c:v>
                </c:pt>
                <c:pt idx="2">
                  <c:v>4.3500000000000011E-2</c:v>
                </c:pt>
                <c:pt idx="3">
                  <c:v>2.0700000000000007E-2</c:v>
                </c:pt>
                <c:pt idx="4">
                  <c:v>2.2200000000000008E-2</c:v>
                </c:pt>
                <c:pt idx="5">
                  <c:v>5.0500000000000003E-2</c:v>
                </c:pt>
              </c:numCache>
            </c:numRef>
          </c:val>
        </c:ser>
        <c:gapWidth val="219"/>
        <c:overlap val="-27"/>
        <c:axId val="153244800"/>
        <c:axId val="153246336"/>
      </c:barChart>
      <c:catAx>
        <c:axId val="153244800"/>
        <c:scaling>
          <c:orientation val="minMax"/>
        </c:scaling>
        <c:axPos val="b"/>
        <c:numFmt formatCode="General" sourceLinked="1"/>
        <c:majorTickMark val="none"/>
        <c:tickLblPos val="nextTo"/>
        <c:spPr>
          <a:noFill/>
          <a:ln w="9525" cap="flat" cmpd="sng" algn="ctr">
            <a:solidFill>
              <a:srgbClr val="D9D9D9">
                <a:lumMod val="15000"/>
                <a:lumOff val="85000"/>
              </a:srgbClr>
            </a:solidFill>
            <a:round/>
          </a:ln>
          <a:effectLst/>
        </c:spPr>
        <c:txPr>
          <a:bodyPr rot="-6000000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3246336"/>
        <c:crosses val="autoZero"/>
        <c:auto val="1"/>
        <c:lblAlgn val="ctr"/>
        <c:lblOffset val="100"/>
        <c:tickMarkSkip val="1"/>
      </c:catAx>
      <c:valAx>
        <c:axId val="153246336"/>
        <c:scaling>
          <c:orientation val="minMax"/>
        </c:scaling>
        <c:axPos val="l"/>
        <c:majorGridlines>
          <c:spPr>
            <a:ln w="9525" cap="flat" cmpd="sng" algn="ctr">
              <a:solidFill>
                <a:srgbClr val="D9D9D9">
                  <a:lumMod val="15000"/>
                  <a:lumOff val="85000"/>
                </a:srgbClr>
              </a:solidFill>
              <a:round/>
            </a:ln>
            <a:effectLst/>
          </c:spPr>
        </c:majorGridlines>
        <c:numFmt formatCode="0.00%" sourceLinked="1"/>
        <c:majorTickMark val="none"/>
        <c:tickLblPos val="nextTo"/>
        <c:spPr>
          <a:noFill/>
          <a:ln>
            <a:noFill/>
          </a:ln>
          <a:effectLst/>
        </c:spPr>
        <c:txPr>
          <a:bodyPr rot="-6000000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3244800"/>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[未就业率情况.xls]Sheet1!$B$4</c:f>
              <c:strCache>
                <c:ptCount val="1"/>
                <c:pt idx="0">
                  <c:v>未就业率</c:v>
                </c:pt>
              </c:strCache>
            </c:strRef>
          </c:tx>
          <c:spPr>
            <a:solidFill>
              <a:srgbClr val="4F81BD"/>
            </a:solidFill>
            <a:ln>
              <a:noFill/>
            </a:ln>
            <a:effectLst/>
          </c:spPr>
          <c:cat>
            <c:strRef>
              <c:f>[未就业率情况.xls]Sheet1!$C$3:$H$3</c:f>
              <c:strCache>
                <c:ptCount val="6"/>
                <c:pt idx="0">
                  <c:v>人文学部</c:v>
                </c:pt>
                <c:pt idx="1">
                  <c:v>理学部</c:v>
                </c:pt>
                <c:pt idx="2">
                  <c:v>经管学部</c:v>
                </c:pt>
                <c:pt idx="3">
                  <c:v>信息学部</c:v>
                </c:pt>
                <c:pt idx="4">
                  <c:v>工程学部</c:v>
                </c:pt>
                <c:pt idx="5">
                  <c:v>医学部</c:v>
                </c:pt>
              </c:strCache>
            </c:strRef>
          </c:cat>
          <c:val>
            <c:numRef>
              <c:f>[未就业率情况.xls]Sheet1!$C$4:$H$4</c:f>
              <c:numCache>
                <c:formatCode>General</c:formatCode>
                <c:ptCount val="6"/>
                <c:pt idx="0">
                  <c:v>0</c:v>
                </c:pt>
                <c:pt idx="1">
                  <c:v>0</c:v>
                </c:pt>
                <c:pt idx="2">
                  <c:v>0</c:v>
                </c:pt>
                <c:pt idx="3" formatCode="0.00%">
                  <c:v>1.3000000000000005E-2</c:v>
                </c:pt>
                <c:pt idx="4" formatCode="0.00%">
                  <c:v>9.8765432098765482E-3</c:v>
                </c:pt>
                <c:pt idx="5" formatCode="0.00%">
                  <c:v>5.9233449477351909E-2</c:v>
                </c:pt>
              </c:numCache>
            </c:numRef>
          </c:val>
        </c:ser>
        <c:gapWidth val="219"/>
        <c:overlap val="-27"/>
        <c:axId val="153288064"/>
        <c:axId val="153425024"/>
      </c:barChart>
      <c:catAx>
        <c:axId val="153288064"/>
        <c:scaling>
          <c:orientation val="minMax"/>
        </c:scaling>
        <c:axPos val="b"/>
        <c:numFmt formatCode="General" sourceLinked="1"/>
        <c:majorTickMark val="none"/>
        <c:tickLblPos val="nextTo"/>
        <c:spPr>
          <a:noFill/>
          <a:ln w="9525" cap="flat" cmpd="sng" algn="ctr">
            <a:solidFill>
              <a:srgbClr val="D9D9D9">
                <a:lumMod val="15000"/>
                <a:lumOff val="85000"/>
              </a:srgbClr>
            </a:solidFill>
            <a:round/>
          </a:ln>
          <a:effectLst/>
        </c:spPr>
        <c:txPr>
          <a:bodyPr rot="-6000000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3425024"/>
        <c:crosses val="autoZero"/>
        <c:auto val="1"/>
        <c:lblAlgn val="ctr"/>
        <c:lblOffset val="100"/>
        <c:tickMarkSkip val="1"/>
      </c:catAx>
      <c:valAx>
        <c:axId val="153425024"/>
        <c:scaling>
          <c:orientation val="minMax"/>
        </c:scaling>
        <c:axPos val="l"/>
        <c:majorGridlines>
          <c:spPr>
            <a:ln w="9525" cap="flat" cmpd="sng" algn="ctr">
              <a:solidFill>
                <a:srgbClr val="D9D9D9">
                  <a:lumMod val="15000"/>
                  <a:lumOff val="85000"/>
                </a:srgbClr>
              </a:solidFill>
              <a:round/>
            </a:ln>
            <a:effectLst/>
          </c:spPr>
        </c:majorGridlines>
        <c:numFmt formatCode="General" sourceLinked="1"/>
        <c:majorTickMark val="none"/>
        <c:tickLblPos val="nextTo"/>
        <c:spPr>
          <a:noFill/>
          <a:ln>
            <a:noFill/>
          </a:ln>
          <a:effectLst/>
        </c:spPr>
        <c:txPr>
          <a:bodyPr rot="-6000000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crossAx val="153288064"/>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sz="900" kern="120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2087</Words>
  <Characters>11900</Characters>
  <Application>Microsoft Office Word</Application>
  <DocSecurity>0</DocSecurity>
  <PresentationFormat/>
  <Lines>99</Lines>
  <Paragraphs>27</Paragraphs>
  <Slides>0</Slides>
  <Notes>0</Notes>
  <HiddenSlides>0</HiddenSlides>
  <MMClips>0</MMClips>
  <ScaleCrop>false</ScaleCrop>
  <Company>微软中国</Company>
  <LinksUpToDate>false</LinksUpToDate>
  <CharactersWithSpaces>13960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南通大学杏林学院2014届毕业生就业质量年度报告</dc:title>
  <dc:creator>系统管理员</dc:creator>
  <cp:lastModifiedBy>微软用户</cp:lastModifiedBy>
  <cp:revision>2</cp:revision>
  <cp:lastPrinted>2016-01-07T07:50:00Z</cp:lastPrinted>
  <dcterms:created xsi:type="dcterms:W3CDTF">2018-09-20T12:23:00Z</dcterms:created>
  <dcterms:modified xsi:type="dcterms:W3CDTF">2018-09-20T12:23:00Z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