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9A1129">
      <w:pPr>
        <w:spacing w:line="480" w:lineRule="auto"/>
        <w:jc w:val="center"/>
        <w:rPr>
          <w:rFonts w:ascii="楷体_GB2312" w:eastAsia="楷体_GB2312" w:hAnsi="楷体_GB2312" w:cs="楷体_GB2312"/>
          <w:b/>
          <w:sz w:val="36"/>
          <w:szCs w:val="36"/>
        </w:rPr>
      </w:pPr>
      <w:r>
        <w:rPr>
          <w:rFonts w:ascii="楷体_GB2312" w:eastAsia="楷体_GB2312" w:hAnsi="楷体_GB2312" w:cs="楷体_GB2312" w:hint="eastAsia"/>
          <w:b/>
          <w:sz w:val="36"/>
          <w:szCs w:val="36"/>
        </w:rPr>
        <w:t>第一部分</w:t>
      </w:r>
      <w:r>
        <w:rPr>
          <w:rFonts w:ascii="楷体_GB2312" w:eastAsia="楷体_GB2312" w:hAnsi="楷体_GB2312" w:cs="楷体_GB2312" w:hint="eastAsia"/>
          <w:b/>
          <w:sz w:val="36"/>
          <w:szCs w:val="36"/>
        </w:rPr>
        <w:t xml:space="preserve">  </w:t>
      </w:r>
      <w:r>
        <w:rPr>
          <w:rFonts w:ascii="楷体_GB2312" w:eastAsia="楷体_GB2312" w:hAnsi="楷体_GB2312" w:cs="楷体_GB2312" w:hint="eastAsia"/>
          <w:b/>
          <w:sz w:val="36"/>
          <w:szCs w:val="36"/>
        </w:rPr>
        <w:t>毕业生就业基本情况</w:t>
      </w:r>
    </w:p>
    <w:p w:rsidR="00000000" w:rsidRDefault="009A1129">
      <w:pPr>
        <w:pStyle w:val="ab"/>
        <w:numPr>
          <w:ilvl w:val="0"/>
          <w:numId w:val="1"/>
        </w:numPr>
        <w:spacing w:line="480" w:lineRule="auto"/>
        <w:ind w:firstLineChars="0"/>
        <w:rPr>
          <w:rFonts w:ascii="楷体_GB2312" w:eastAsia="楷体_GB2312" w:hAnsi="楷体_GB2312" w:cs="楷体_GB2312"/>
          <w:b/>
          <w:sz w:val="32"/>
          <w:szCs w:val="32"/>
        </w:rPr>
      </w:pPr>
      <w:r>
        <w:rPr>
          <w:rFonts w:ascii="楷体_GB2312" w:eastAsia="楷体_GB2312" w:hAnsi="楷体_GB2312" w:cs="楷体_GB2312" w:hint="eastAsia"/>
          <w:b/>
          <w:sz w:val="32"/>
          <w:szCs w:val="32"/>
        </w:rPr>
        <w:t>毕业生人数</w:t>
      </w:r>
    </w:p>
    <w:p w:rsidR="00000000" w:rsidRDefault="009A1129">
      <w:pPr>
        <w:spacing w:line="480" w:lineRule="auto"/>
        <w:ind w:leftChars="200" w:left="420" w:firstLineChars="200" w:firstLine="560"/>
        <w:rPr>
          <w:rFonts w:ascii="楷体_GB2312" w:eastAsia="楷体_GB2312" w:hAnsi="楷体_GB2312" w:cs="楷体_GB2312"/>
          <w:sz w:val="28"/>
          <w:szCs w:val="28"/>
        </w:rPr>
      </w:pPr>
      <w:r>
        <w:rPr>
          <w:rFonts w:ascii="楷体_GB2312" w:eastAsia="楷体_GB2312" w:hAnsi="楷体_GB2312" w:cs="楷体_GB2312" w:hint="eastAsia"/>
          <w:sz w:val="28"/>
          <w:szCs w:val="28"/>
        </w:rPr>
        <w:t>我院</w:t>
      </w:r>
      <w:r>
        <w:rPr>
          <w:rFonts w:ascii="楷体_GB2312" w:eastAsia="楷体_GB2312" w:hAnsi="楷体_GB2312" w:cs="楷体_GB2312" w:hint="eastAsia"/>
          <w:sz w:val="28"/>
          <w:szCs w:val="28"/>
        </w:rPr>
        <w:t>201</w:t>
      </w:r>
      <w:r>
        <w:rPr>
          <w:rFonts w:ascii="楷体_GB2312" w:eastAsia="楷体_GB2312" w:hAnsi="楷体_GB2312" w:cs="楷体_GB2312" w:hint="eastAsia"/>
          <w:sz w:val="28"/>
          <w:szCs w:val="28"/>
        </w:rPr>
        <w:t>7</w:t>
      </w:r>
      <w:r>
        <w:rPr>
          <w:rFonts w:ascii="楷体_GB2312" w:eastAsia="楷体_GB2312" w:hAnsi="楷体_GB2312" w:cs="楷体_GB2312" w:hint="eastAsia"/>
          <w:sz w:val="28"/>
          <w:szCs w:val="28"/>
        </w:rPr>
        <w:t>届毕业生共</w:t>
      </w:r>
      <w:r>
        <w:rPr>
          <w:rFonts w:ascii="楷体_GB2312" w:eastAsia="楷体_GB2312" w:hAnsi="楷体_GB2312" w:cs="楷体_GB2312" w:hint="eastAsia"/>
          <w:sz w:val="28"/>
          <w:szCs w:val="28"/>
        </w:rPr>
        <w:t>1811</w:t>
      </w:r>
      <w:r>
        <w:rPr>
          <w:rFonts w:ascii="楷体_GB2312" w:eastAsia="楷体_GB2312" w:hAnsi="楷体_GB2312" w:cs="楷体_GB2312" w:hint="eastAsia"/>
          <w:sz w:val="28"/>
          <w:szCs w:val="28"/>
        </w:rPr>
        <w:t>人，其中四年制本科生</w:t>
      </w:r>
      <w:r>
        <w:rPr>
          <w:rFonts w:ascii="楷体_GB2312" w:eastAsia="楷体_GB2312" w:hAnsi="楷体_GB2312" w:cs="楷体_GB2312" w:hint="eastAsia"/>
          <w:sz w:val="28"/>
          <w:szCs w:val="28"/>
        </w:rPr>
        <w:t>1404</w:t>
      </w:r>
      <w:r>
        <w:rPr>
          <w:rFonts w:ascii="楷体_GB2312" w:eastAsia="楷体_GB2312" w:hAnsi="楷体_GB2312" w:cs="楷体_GB2312" w:hint="eastAsia"/>
          <w:sz w:val="28"/>
          <w:szCs w:val="28"/>
        </w:rPr>
        <w:t>人，五年制本科生</w:t>
      </w:r>
      <w:r>
        <w:rPr>
          <w:rFonts w:ascii="楷体_GB2312" w:eastAsia="楷体_GB2312" w:hAnsi="楷体_GB2312" w:cs="楷体_GB2312" w:hint="eastAsia"/>
          <w:sz w:val="28"/>
          <w:szCs w:val="28"/>
        </w:rPr>
        <w:t>407</w:t>
      </w:r>
      <w:r>
        <w:rPr>
          <w:rFonts w:ascii="楷体_GB2312" w:eastAsia="楷体_GB2312" w:hAnsi="楷体_GB2312" w:cs="楷体_GB2312" w:hint="eastAsia"/>
          <w:sz w:val="28"/>
          <w:szCs w:val="28"/>
        </w:rPr>
        <w:t>人。</w:t>
      </w:r>
    </w:p>
    <w:p w:rsidR="00000000" w:rsidRDefault="009A1129">
      <w:pPr>
        <w:pStyle w:val="ab"/>
        <w:spacing w:line="480" w:lineRule="auto"/>
        <w:ind w:left="420" w:firstLineChars="0" w:firstLine="0"/>
        <w:jc w:val="left"/>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二、毕业生的结构组成</w:t>
      </w:r>
    </w:p>
    <w:p w:rsidR="00000000" w:rsidRDefault="009A1129">
      <w:pPr>
        <w:pStyle w:val="ab"/>
        <w:numPr>
          <w:ilvl w:val="0"/>
          <w:numId w:val="2"/>
        </w:numPr>
        <w:spacing w:line="480" w:lineRule="auto"/>
        <w:ind w:firstLineChars="0"/>
        <w:jc w:val="left"/>
        <w:rPr>
          <w:rFonts w:ascii="楷体_GB2312" w:eastAsia="楷体_GB2312" w:hAnsi="楷体_GB2312" w:cs="楷体_GB2312"/>
          <w:b/>
          <w:sz w:val="28"/>
          <w:szCs w:val="28"/>
        </w:rPr>
      </w:pPr>
      <w:r>
        <w:rPr>
          <w:rFonts w:ascii="楷体_GB2312" w:eastAsia="楷体_GB2312" w:hAnsi="楷体_GB2312" w:cs="楷体_GB2312" w:hint="eastAsia"/>
          <w:b/>
          <w:sz w:val="28"/>
          <w:szCs w:val="28"/>
        </w:rPr>
        <w:t>各学部毕业生分布情况</w:t>
      </w:r>
    </w:p>
    <w:p w:rsidR="00000000" w:rsidRDefault="009A1129">
      <w:pPr>
        <w:spacing w:line="480" w:lineRule="auto"/>
        <w:ind w:leftChars="200" w:left="420"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我院</w:t>
      </w:r>
      <w:r>
        <w:rPr>
          <w:rFonts w:ascii="楷体_GB2312" w:eastAsia="楷体_GB2312" w:hAnsi="楷体_GB2312" w:cs="楷体_GB2312" w:hint="eastAsia"/>
          <w:sz w:val="28"/>
          <w:szCs w:val="28"/>
        </w:rPr>
        <w:t>201</w:t>
      </w:r>
      <w:r>
        <w:rPr>
          <w:rFonts w:ascii="楷体_GB2312" w:eastAsia="楷体_GB2312" w:hAnsi="楷体_GB2312" w:cs="楷体_GB2312" w:hint="eastAsia"/>
          <w:sz w:val="28"/>
          <w:szCs w:val="28"/>
        </w:rPr>
        <w:t>7</w:t>
      </w:r>
      <w:r>
        <w:rPr>
          <w:rFonts w:ascii="楷体_GB2312" w:eastAsia="楷体_GB2312" w:hAnsi="楷体_GB2312" w:cs="楷体_GB2312" w:hint="eastAsia"/>
          <w:sz w:val="28"/>
          <w:szCs w:val="28"/>
        </w:rPr>
        <w:t>届各学部毕业生人数见图</w:t>
      </w:r>
      <w:r>
        <w:rPr>
          <w:rFonts w:ascii="楷体_GB2312" w:eastAsia="楷体_GB2312" w:hAnsi="楷体_GB2312" w:cs="楷体_GB2312" w:hint="eastAsia"/>
          <w:sz w:val="28"/>
          <w:szCs w:val="28"/>
        </w:rPr>
        <w:t>1-</w:t>
      </w:r>
      <w:r>
        <w:rPr>
          <w:rFonts w:ascii="楷体_GB2312" w:eastAsia="楷体_GB2312" w:hAnsi="楷体_GB2312" w:cs="楷体_GB2312" w:hint="eastAsia"/>
          <w:sz w:val="28"/>
          <w:szCs w:val="28"/>
        </w:rPr>
        <w:t>2</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其中，毕业生人数占比前三位的学部分别是：第一</w:t>
      </w:r>
      <w:r>
        <w:rPr>
          <w:rFonts w:ascii="楷体_GB2312" w:eastAsia="楷体_GB2312" w:hAnsi="楷体_GB2312" w:cs="楷体_GB2312" w:hint="eastAsia"/>
          <w:sz w:val="28"/>
          <w:szCs w:val="28"/>
        </w:rPr>
        <w:t>，医学部（五年制）</w:t>
      </w:r>
      <w:r>
        <w:rPr>
          <w:rFonts w:ascii="楷体_GB2312" w:eastAsia="楷体_GB2312" w:hAnsi="楷体_GB2312" w:cs="楷体_GB2312" w:hint="eastAsia"/>
          <w:sz w:val="28"/>
          <w:szCs w:val="28"/>
        </w:rPr>
        <w:t>407</w:t>
      </w:r>
      <w:r>
        <w:rPr>
          <w:rFonts w:ascii="楷体_GB2312" w:eastAsia="楷体_GB2312" w:hAnsi="楷体_GB2312" w:cs="楷体_GB2312" w:hint="eastAsia"/>
          <w:sz w:val="28"/>
          <w:szCs w:val="28"/>
        </w:rPr>
        <w:t>人，占毕业生总数的</w:t>
      </w:r>
      <w:r>
        <w:rPr>
          <w:rFonts w:ascii="楷体_GB2312" w:eastAsia="楷体_GB2312" w:hAnsi="楷体_GB2312" w:cs="楷体_GB2312" w:hint="eastAsia"/>
          <w:sz w:val="28"/>
          <w:szCs w:val="28"/>
        </w:rPr>
        <w:t>23</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；第二</w:t>
      </w:r>
      <w:r>
        <w:rPr>
          <w:rFonts w:ascii="楷体_GB2312" w:eastAsia="楷体_GB2312" w:hAnsi="楷体_GB2312" w:cs="楷体_GB2312" w:hint="eastAsia"/>
          <w:sz w:val="28"/>
          <w:szCs w:val="28"/>
        </w:rPr>
        <w:t>，工</w:t>
      </w:r>
      <w:r>
        <w:rPr>
          <w:rFonts w:ascii="楷体_GB2312" w:eastAsia="楷体_GB2312" w:hAnsi="楷体_GB2312" w:cs="楷体_GB2312" w:hint="eastAsia"/>
          <w:sz w:val="28"/>
          <w:szCs w:val="28"/>
        </w:rPr>
        <w:t>程学部</w:t>
      </w:r>
      <w:r>
        <w:rPr>
          <w:rFonts w:ascii="楷体_GB2312" w:eastAsia="楷体_GB2312" w:hAnsi="楷体_GB2312" w:cs="楷体_GB2312" w:hint="eastAsia"/>
          <w:sz w:val="28"/>
          <w:szCs w:val="28"/>
        </w:rPr>
        <w:t>346</w:t>
      </w:r>
      <w:r>
        <w:rPr>
          <w:rFonts w:ascii="楷体_GB2312" w:eastAsia="楷体_GB2312" w:hAnsi="楷体_GB2312" w:cs="楷体_GB2312" w:hint="eastAsia"/>
          <w:sz w:val="28"/>
          <w:szCs w:val="28"/>
        </w:rPr>
        <w:t>人，占毕业生总数的</w:t>
      </w:r>
      <w:r>
        <w:rPr>
          <w:rFonts w:ascii="楷体_GB2312" w:eastAsia="楷体_GB2312" w:hAnsi="楷体_GB2312" w:cs="楷体_GB2312" w:hint="eastAsia"/>
          <w:sz w:val="28"/>
          <w:szCs w:val="28"/>
        </w:rPr>
        <w:t>19</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；第三</w:t>
      </w:r>
      <w:r>
        <w:rPr>
          <w:rFonts w:ascii="楷体_GB2312" w:eastAsia="楷体_GB2312" w:hAnsi="楷体_GB2312" w:cs="楷体_GB2312" w:hint="eastAsia"/>
          <w:sz w:val="28"/>
          <w:szCs w:val="28"/>
        </w:rPr>
        <w:t>，医学部（</w:t>
      </w:r>
      <w:r>
        <w:rPr>
          <w:rFonts w:ascii="楷体_GB2312" w:eastAsia="楷体_GB2312" w:hAnsi="楷体_GB2312" w:cs="楷体_GB2312" w:hint="eastAsia"/>
          <w:sz w:val="28"/>
          <w:szCs w:val="28"/>
        </w:rPr>
        <w:t>四</w:t>
      </w:r>
      <w:r>
        <w:rPr>
          <w:rFonts w:ascii="楷体_GB2312" w:eastAsia="楷体_GB2312" w:hAnsi="楷体_GB2312" w:cs="楷体_GB2312" w:hint="eastAsia"/>
          <w:sz w:val="28"/>
          <w:szCs w:val="28"/>
        </w:rPr>
        <w:t>年制）</w:t>
      </w:r>
      <w:r>
        <w:rPr>
          <w:rFonts w:ascii="楷体_GB2312" w:eastAsia="楷体_GB2312" w:hAnsi="楷体_GB2312" w:cs="楷体_GB2312" w:hint="eastAsia"/>
          <w:sz w:val="28"/>
          <w:szCs w:val="28"/>
        </w:rPr>
        <w:t>242</w:t>
      </w:r>
      <w:r>
        <w:rPr>
          <w:rFonts w:ascii="楷体_GB2312" w:eastAsia="楷体_GB2312" w:hAnsi="楷体_GB2312" w:cs="楷体_GB2312" w:hint="eastAsia"/>
          <w:sz w:val="28"/>
          <w:szCs w:val="28"/>
        </w:rPr>
        <w:t>人，占毕业生总数的</w:t>
      </w:r>
      <w:r>
        <w:rPr>
          <w:rFonts w:ascii="楷体_GB2312" w:eastAsia="楷体_GB2312" w:hAnsi="楷体_GB2312" w:cs="楷体_GB2312" w:hint="eastAsia"/>
          <w:sz w:val="28"/>
          <w:szCs w:val="28"/>
        </w:rPr>
        <w:t>13</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w:t>
      </w:r>
    </w:p>
    <w:p w:rsidR="00000000" w:rsidRDefault="006666D3">
      <w:pPr>
        <w:spacing w:line="480" w:lineRule="auto"/>
        <w:ind w:leftChars="200" w:left="420" w:firstLineChars="200" w:firstLine="420"/>
        <w:jc w:val="left"/>
        <w:rPr>
          <w:rFonts w:ascii="楷体_GB2312" w:eastAsia="楷体_GB2312" w:hAnsi="楷体_GB2312" w:cs="楷体_GB2312"/>
          <w:sz w:val="28"/>
          <w:szCs w:val="28"/>
        </w:rPr>
      </w:pPr>
      <w:r>
        <w:rPr>
          <w:noProof/>
        </w:rPr>
        <w:drawing>
          <wp:inline distT="0" distB="0" distL="0" distR="0">
            <wp:extent cx="4572000" cy="2743200"/>
            <wp:effectExtent l="4445" t="4445" r="14605" b="14605"/>
            <wp:docPr id="1"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000000" w:rsidRDefault="009A1129">
      <w:pPr>
        <w:spacing w:line="480" w:lineRule="auto"/>
        <w:jc w:val="center"/>
        <w:rPr>
          <w:rFonts w:ascii="楷体_GB2312" w:eastAsia="楷体_GB2312" w:hAnsi="楷体_GB2312" w:cs="楷体_GB2312" w:hint="eastAsia"/>
          <w:b/>
          <w:sz w:val="28"/>
          <w:szCs w:val="28"/>
        </w:rPr>
      </w:pPr>
      <w:r>
        <w:rPr>
          <w:rFonts w:ascii="楷体_GB2312" w:eastAsia="楷体_GB2312" w:hAnsi="楷体_GB2312" w:cs="楷体_GB2312" w:hint="eastAsia"/>
          <w:b/>
          <w:sz w:val="28"/>
          <w:szCs w:val="28"/>
        </w:rPr>
        <w:t>图</w:t>
      </w:r>
      <w:r>
        <w:rPr>
          <w:rFonts w:ascii="楷体_GB2312" w:eastAsia="楷体_GB2312" w:hAnsi="楷体_GB2312" w:cs="楷体_GB2312" w:hint="eastAsia"/>
          <w:b/>
          <w:sz w:val="28"/>
          <w:szCs w:val="28"/>
        </w:rPr>
        <w:t>1-</w:t>
      </w:r>
      <w:r>
        <w:rPr>
          <w:rFonts w:ascii="楷体_GB2312" w:eastAsia="楷体_GB2312" w:hAnsi="楷体_GB2312" w:cs="楷体_GB2312" w:hint="eastAsia"/>
          <w:b/>
          <w:sz w:val="28"/>
          <w:szCs w:val="28"/>
        </w:rPr>
        <w:t>2</w:t>
      </w:r>
      <w:r>
        <w:rPr>
          <w:rFonts w:ascii="楷体_GB2312" w:eastAsia="楷体_GB2312" w:hAnsi="楷体_GB2312" w:cs="楷体_GB2312" w:hint="eastAsia"/>
          <w:b/>
          <w:sz w:val="28"/>
          <w:szCs w:val="28"/>
        </w:rPr>
        <w:t xml:space="preserve"> 201</w:t>
      </w:r>
      <w:r>
        <w:rPr>
          <w:rFonts w:ascii="楷体_GB2312" w:eastAsia="楷体_GB2312" w:hAnsi="楷体_GB2312" w:cs="楷体_GB2312" w:hint="eastAsia"/>
          <w:b/>
          <w:sz w:val="28"/>
          <w:szCs w:val="28"/>
        </w:rPr>
        <w:t>7</w:t>
      </w:r>
      <w:r>
        <w:rPr>
          <w:rFonts w:ascii="楷体_GB2312" w:eastAsia="楷体_GB2312" w:hAnsi="楷体_GB2312" w:cs="楷体_GB2312" w:hint="eastAsia"/>
          <w:b/>
          <w:sz w:val="28"/>
          <w:szCs w:val="28"/>
        </w:rPr>
        <w:t>届各学部毕业生分布情况</w:t>
      </w:r>
    </w:p>
    <w:p w:rsidR="00000000" w:rsidRDefault="009A1129">
      <w:pPr>
        <w:spacing w:line="480" w:lineRule="auto"/>
        <w:jc w:val="center"/>
        <w:rPr>
          <w:rFonts w:ascii="楷体_GB2312" w:eastAsia="楷体_GB2312" w:hAnsi="楷体_GB2312" w:cs="楷体_GB2312" w:hint="eastAsia"/>
          <w:b/>
          <w:sz w:val="28"/>
          <w:szCs w:val="28"/>
        </w:rPr>
      </w:pPr>
    </w:p>
    <w:p w:rsidR="00000000" w:rsidRDefault="009A1129">
      <w:pPr>
        <w:spacing w:line="480" w:lineRule="auto"/>
        <w:jc w:val="left"/>
        <w:rPr>
          <w:rFonts w:ascii="楷体_GB2312" w:eastAsia="楷体_GB2312" w:hAnsi="楷体_GB2312" w:cs="楷体_GB2312"/>
          <w:b/>
          <w:sz w:val="28"/>
          <w:szCs w:val="28"/>
        </w:rPr>
      </w:pPr>
      <w:r>
        <w:rPr>
          <w:rFonts w:ascii="楷体_GB2312" w:eastAsia="楷体_GB2312" w:hAnsi="楷体_GB2312" w:cs="楷体_GB2312" w:hint="eastAsia"/>
          <w:b/>
          <w:sz w:val="28"/>
          <w:szCs w:val="28"/>
        </w:rPr>
        <w:t>(</w:t>
      </w:r>
      <w:r>
        <w:rPr>
          <w:rFonts w:ascii="楷体_GB2312" w:eastAsia="楷体_GB2312" w:hAnsi="楷体_GB2312" w:cs="楷体_GB2312" w:hint="eastAsia"/>
          <w:b/>
          <w:sz w:val="28"/>
          <w:szCs w:val="28"/>
        </w:rPr>
        <w:t>二</w:t>
      </w:r>
      <w:r>
        <w:rPr>
          <w:rFonts w:ascii="楷体_GB2312" w:eastAsia="楷体_GB2312" w:hAnsi="楷体_GB2312" w:cs="楷体_GB2312" w:hint="eastAsia"/>
          <w:b/>
          <w:sz w:val="28"/>
          <w:szCs w:val="28"/>
        </w:rPr>
        <w:t>)</w:t>
      </w:r>
      <w:r>
        <w:rPr>
          <w:rFonts w:ascii="楷体_GB2312" w:eastAsia="楷体_GB2312" w:hAnsi="楷体_GB2312" w:cs="楷体_GB2312" w:hint="eastAsia"/>
          <w:b/>
          <w:sz w:val="28"/>
          <w:szCs w:val="28"/>
        </w:rPr>
        <w:t>毕业生的性别结构</w:t>
      </w:r>
    </w:p>
    <w:p w:rsidR="00000000" w:rsidRDefault="009A1129">
      <w:pPr>
        <w:spacing w:line="480" w:lineRule="auto"/>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我院</w:t>
      </w:r>
      <w:r>
        <w:rPr>
          <w:rFonts w:ascii="楷体_GB2312" w:eastAsia="楷体_GB2312" w:hAnsi="楷体_GB2312" w:cs="楷体_GB2312" w:hint="eastAsia"/>
          <w:sz w:val="28"/>
          <w:szCs w:val="28"/>
        </w:rPr>
        <w:t>201</w:t>
      </w:r>
      <w:r>
        <w:rPr>
          <w:rFonts w:ascii="楷体_GB2312" w:eastAsia="楷体_GB2312" w:hAnsi="楷体_GB2312" w:cs="楷体_GB2312" w:hint="eastAsia"/>
          <w:sz w:val="28"/>
          <w:szCs w:val="28"/>
        </w:rPr>
        <w:t>7</w:t>
      </w:r>
      <w:r>
        <w:rPr>
          <w:rFonts w:ascii="楷体_GB2312" w:eastAsia="楷体_GB2312" w:hAnsi="楷体_GB2312" w:cs="楷体_GB2312" w:hint="eastAsia"/>
          <w:sz w:val="28"/>
          <w:szCs w:val="28"/>
        </w:rPr>
        <w:t>届毕业生中，男生</w:t>
      </w:r>
      <w:r>
        <w:rPr>
          <w:rFonts w:ascii="楷体_GB2312" w:eastAsia="楷体_GB2312" w:hAnsi="楷体_GB2312" w:cs="楷体_GB2312" w:hint="eastAsia"/>
          <w:sz w:val="28"/>
          <w:szCs w:val="28"/>
        </w:rPr>
        <w:t>736</w:t>
      </w:r>
      <w:r>
        <w:rPr>
          <w:rFonts w:ascii="楷体_GB2312" w:eastAsia="楷体_GB2312" w:hAnsi="楷体_GB2312" w:cs="楷体_GB2312" w:hint="eastAsia"/>
          <w:sz w:val="28"/>
          <w:szCs w:val="28"/>
        </w:rPr>
        <w:t>人，占毕业生总数的</w:t>
      </w:r>
      <w:r>
        <w:rPr>
          <w:rFonts w:ascii="楷体_GB2312" w:eastAsia="楷体_GB2312" w:hAnsi="楷体_GB2312" w:cs="楷体_GB2312" w:hint="eastAsia"/>
          <w:sz w:val="28"/>
          <w:szCs w:val="28"/>
        </w:rPr>
        <w:t>40.64</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；女生</w:t>
      </w:r>
      <w:r>
        <w:rPr>
          <w:rFonts w:ascii="楷体_GB2312" w:eastAsia="楷体_GB2312" w:hAnsi="楷体_GB2312" w:cs="楷体_GB2312" w:hint="eastAsia"/>
          <w:sz w:val="28"/>
          <w:szCs w:val="28"/>
        </w:rPr>
        <w:t>1075</w:t>
      </w:r>
      <w:r>
        <w:rPr>
          <w:rFonts w:ascii="楷体_GB2312" w:eastAsia="楷体_GB2312" w:hAnsi="楷体_GB2312" w:cs="楷体_GB2312" w:hint="eastAsia"/>
          <w:sz w:val="28"/>
          <w:szCs w:val="28"/>
        </w:rPr>
        <w:t>人，占毕业生总数的</w:t>
      </w:r>
      <w:r>
        <w:rPr>
          <w:rFonts w:ascii="楷体_GB2312" w:eastAsia="楷体_GB2312" w:hAnsi="楷体_GB2312" w:cs="楷体_GB2312" w:hint="eastAsia"/>
          <w:sz w:val="28"/>
          <w:szCs w:val="28"/>
        </w:rPr>
        <w:t>59.36</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。男女生性别比为</w:t>
      </w:r>
      <w:r>
        <w:rPr>
          <w:rFonts w:ascii="楷体_GB2312" w:eastAsia="楷体_GB2312" w:hAnsi="楷体_GB2312" w:cs="楷体_GB2312" w:hint="eastAsia"/>
          <w:sz w:val="28"/>
          <w:szCs w:val="28"/>
        </w:rPr>
        <w:t>1:1.</w:t>
      </w:r>
      <w:r>
        <w:rPr>
          <w:rFonts w:ascii="楷体_GB2312" w:eastAsia="楷体_GB2312" w:hAnsi="楷体_GB2312" w:cs="楷体_GB2312" w:hint="eastAsia"/>
          <w:sz w:val="28"/>
          <w:szCs w:val="28"/>
        </w:rPr>
        <w:t>46</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见</w:t>
      </w:r>
      <w:r>
        <w:rPr>
          <w:rFonts w:ascii="楷体_GB2312" w:eastAsia="楷体_GB2312" w:hAnsi="楷体_GB2312" w:cs="楷体_GB2312" w:hint="eastAsia"/>
          <w:sz w:val="28"/>
          <w:szCs w:val="28"/>
        </w:rPr>
        <w:lastRenderedPageBreak/>
        <w:t>图</w:t>
      </w:r>
      <w:r>
        <w:rPr>
          <w:rFonts w:ascii="楷体_GB2312" w:eastAsia="楷体_GB2312" w:hAnsi="楷体_GB2312" w:cs="楷体_GB2312" w:hint="eastAsia"/>
          <w:sz w:val="28"/>
          <w:szCs w:val="28"/>
        </w:rPr>
        <w:t>1-</w:t>
      </w:r>
      <w:r>
        <w:rPr>
          <w:rFonts w:ascii="楷体_GB2312" w:eastAsia="楷体_GB2312" w:hAnsi="楷体_GB2312" w:cs="楷体_GB2312" w:hint="eastAsia"/>
          <w:sz w:val="28"/>
          <w:szCs w:val="28"/>
        </w:rPr>
        <w:t>3</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w:t>
      </w:r>
    </w:p>
    <w:p w:rsidR="00000000" w:rsidRDefault="006666D3">
      <w:pPr>
        <w:spacing w:line="480" w:lineRule="auto"/>
        <w:jc w:val="center"/>
        <w:rPr>
          <w:rFonts w:ascii="楷体_GB2312" w:eastAsia="楷体_GB2312" w:hAnsi="楷体_GB2312" w:cs="楷体_GB2312"/>
          <w:sz w:val="28"/>
          <w:szCs w:val="28"/>
        </w:rPr>
      </w:pPr>
      <w:r>
        <w:rPr>
          <w:noProof/>
        </w:rPr>
        <w:drawing>
          <wp:inline distT="0" distB="0" distL="0" distR="0">
            <wp:extent cx="4572000" cy="2743200"/>
            <wp:effectExtent l="4445" t="4445" r="14605" b="14605"/>
            <wp:docPr id="4" name="图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00000" w:rsidRDefault="009A1129">
      <w:pPr>
        <w:spacing w:line="480" w:lineRule="auto"/>
        <w:jc w:val="center"/>
        <w:rPr>
          <w:rFonts w:ascii="楷体_GB2312" w:eastAsia="楷体_GB2312" w:hAnsi="楷体_GB2312" w:cs="楷体_GB2312" w:hint="eastAsia"/>
          <w:b/>
          <w:bCs/>
          <w:sz w:val="28"/>
          <w:szCs w:val="28"/>
        </w:rPr>
      </w:pP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w:t>
      </w:r>
      <w:r>
        <w:rPr>
          <w:rFonts w:ascii="楷体_GB2312" w:eastAsia="楷体_GB2312" w:hAnsi="楷体_GB2312" w:cs="楷体_GB2312" w:hint="eastAsia"/>
          <w:b/>
          <w:bCs/>
          <w:sz w:val="28"/>
          <w:szCs w:val="28"/>
        </w:rPr>
        <w:t>3</w:t>
      </w:r>
      <w:r>
        <w:rPr>
          <w:rFonts w:ascii="楷体_GB2312" w:eastAsia="楷体_GB2312" w:hAnsi="楷体_GB2312" w:cs="楷体_GB2312" w:hint="eastAsia"/>
          <w:b/>
          <w:bCs/>
          <w:sz w:val="28"/>
          <w:szCs w:val="28"/>
        </w:rPr>
        <w:t xml:space="preserve">  201</w:t>
      </w:r>
      <w:r>
        <w:rPr>
          <w:rFonts w:ascii="楷体_GB2312" w:eastAsia="楷体_GB2312" w:hAnsi="楷体_GB2312" w:cs="楷体_GB2312" w:hint="eastAsia"/>
          <w:b/>
          <w:bCs/>
          <w:sz w:val="28"/>
          <w:szCs w:val="28"/>
        </w:rPr>
        <w:t>7</w:t>
      </w:r>
      <w:r>
        <w:rPr>
          <w:rFonts w:ascii="楷体_GB2312" w:eastAsia="楷体_GB2312" w:hAnsi="楷体_GB2312" w:cs="楷体_GB2312" w:hint="eastAsia"/>
          <w:b/>
          <w:bCs/>
          <w:sz w:val="28"/>
          <w:szCs w:val="28"/>
        </w:rPr>
        <w:t>届毕业生男女生性别比例</w:t>
      </w:r>
    </w:p>
    <w:p w:rsidR="00000000" w:rsidRDefault="009A1129">
      <w:pPr>
        <w:spacing w:line="480" w:lineRule="auto"/>
        <w:jc w:val="center"/>
        <w:rPr>
          <w:rFonts w:ascii="楷体_GB2312" w:eastAsia="楷体_GB2312" w:hAnsi="楷体_GB2312" w:cs="楷体_GB2312" w:hint="eastAsia"/>
          <w:b/>
          <w:bCs/>
          <w:sz w:val="28"/>
          <w:szCs w:val="28"/>
        </w:rPr>
      </w:pPr>
    </w:p>
    <w:p w:rsidR="00000000" w:rsidRDefault="009A1129">
      <w:pPr>
        <w:spacing w:line="480" w:lineRule="auto"/>
        <w:jc w:val="left"/>
        <w:rPr>
          <w:rFonts w:ascii="楷体_GB2312" w:eastAsia="楷体_GB2312" w:hAnsi="楷体_GB2312" w:cs="楷体_GB2312"/>
          <w:b/>
          <w:sz w:val="28"/>
          <w:szCs w:val="28"/>
        </w:rPr>
      </w:pPr>
      <w:r>
        <w:rPr>
          <w:rFonts w:ascii="楷体_GB2312" w:eastAsia="楷体_GB2312" w:hAnsi="楷体_GB2312" w:cs="楷体_GB2312" w:hint="eastAsia"/>
          <w:b/>
          <w:sz w:val="28"/>
          <w:szCs w:val="28"/>
        </w:rPr>
        <w:t>（三）毕业生的生源地分布</w:t>
      </w:r>
    </w:p>
    <w:p w:rsidR="00000000" w:rsidRDefault="009A1129">
      <w:pPr>
        <w:spacing w:line="480" w:lineRule="auto"/>
        <w:ind w:firstLineChars="200" w:firstLine="560"/>
        <w:jc w:val="left"/>
        <w:rPr>
          <w:rFonts w:ascii="楷体_GB2312" w:eastAsia="楷体_GB2312" w:hAnsi="楷体_GB2312" w:cs="楷体_GB2312" w:hint="eastAsia"/>
          <w:b/>
          <w:bCs/>
          <w:sz w:val="28"/>
          <w:szCs w:val="28"/>
        </w:rPr>
      </w:pPr>
      <w:r>
        <w:rPr>
          <w:rFonts w:ascii="楷体_GB2312" w:eastAsia="楷体_GB2312" w:hAnsi="楷体_GB2312" w:cs="楷体_GB2312" w:hint="eastAsia"/>
          <w:sz w:val="28"/>
          <w:szCs w:val="28"/>
        </w:rPr>
        <w:t>我院</w:t>
      </w:r>
      <w:r>
        <w:rPr>
          <w:rFonts w:ascii="楷体_GB2312" w:eastAsia="楷体_GB2312" w:hAnsi="楷体_GB2312" w:cs="楷体_GB2312" w:hint="eastAsia"/>
          <w:sz w:val="28"/>
          <w:szCs w:val="28"/>
        </w:rPr>
        <w:t>201</w:t>
      </w:r>
      <w:r>
        <w:rPr>
          <w:rFonts w:ascii="楷体_GB2312" w:eastAsia="楷体_GB2312" w:hAnsi="楷体_GB2312" w:cs="楷体_GB2312" w:hint="eastAsia"/>
          <w:sz w:val="28"/>
          <w:szCs w:val="28"/>
        </w:rPr>
        <w:t>7</w:t>
      </w:r>
      <w:r>
        <w:rPr>
          <w:rFonts w:ascii="楷体_GB2312" w:eastAsia="楷体_GB2312" w:hAnsi="楷体_GB2312" w:cs="楷体_GB2312" w:hint="eastAsia"/>
          <w:sz w:val="28"/>
          <w:szCs w:val="28"/>
        </w:rPr>
        <w:t>届毕业生来源于</w:t>
      </w:r>
      <w:r>
        <w:rPr>
          <w:rFonts w:ascii="楷体_GB2312" w:eastAsia="楷体_GB2312" w:hAnsi="楷体_GB2312" w:cs="楷体_GB2312" w:hint="eastAsia"/>
          <w:sz w:val="28"/>
          <w:szCs w:val="28"/>
        </w:rPr>
        <w:t>13</w:t>
      </w:r>
      <w:r>
        <w:rPr>
          <w:rFonts w:ascii="楷体_GB2312" w:eastAsia="楷体_GB2312" w:hAnsi="楷体_GB2312" w:cs="楷体_GB2312" w:hint="eastAsia"/>
          <w:sz w:val="28"/>
          <w:szCs w:val="28"/>
        </w:rPr>
        <w:t>个省、市，主要分布在江苏省，人数达到</w:t>
      </w:r>
      <w:r>
        <w:rPr>
          <w:rFonts w:ascii="楷体_GB2312" w:eastAsia="楷体_GB2312" w:hAnsi="楷体_GB2312" w:cs="楷体_GB2312" w:hint="eastAsia"/>
          <w:sz w:val="28"/>
          <w:szCs w:val="28"/>
        </w:rPr>
        <w:t>1555</w:t>
      </w:r>
      <w:r>
        <w:rPr>
          <w:rFonts w:ascii="楷体_GB2312" w:eastAsia="楷体_GB2312" w:hAnsi="楷体_GB2312" w:cs="楷体_GB2312" w:hint="eastAsia"/>
          <w:sz w:val="28"/>
          <w:szCs w:val="28"/>
        </w:rPr>
        <w:t>人，占比</w:t>
      </w:r>
      <w:r>
        <w:rPr>
          <w:rFonts w:ascii="楷体_GB2312" w:eastAsia="楷体_GB2312" w:hAnsi="楷体_GB2312" w:cs="楷体_GB2312" w:hint="eastAsia"/>
          <w:sz w:val="28"/>
          <w:szCs w:val="28"/>
        </w:rPr>
        <w:t>85.86</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。其他省份人数为</w:t>
      </w:r>
      <w:r>
        <w:rPr>
          <w:rFonts w:ascii="楷体_GB2312" w:eastAsia="楷体_GB2312" w:hAnsi="楷体_GB2312" w:cs="楷体_GB2312" w:hint="eastAsia"/>
          <w:sz w:val="28"/>
          <w:szCs w:val="28"/>
        </w:rPr>
        <w:t>256</w:t>
      </w:r>
      <w:r>
        <w:rPr>
          <w:rFonts w:ascii="楷体_GB2312" w:eastAsia="楷体_GB2312" w:hAnsi="楷体_GB2312" w:cs="楷体_GB2312" w:hint="eastAsia"/>
          <w:sz w:val="28"/>
          <w:szCs w:val="28"/>
        </w:rPr>
        <w:t>人，占比</w:t>
      </w:r>
      <w:r>
        <w:rPr>
          <w:rFonts w:ascii="楷体_GB2312" w:eastAsia="楷体_GB2312" w:hAnsi="楷体_GB2312" w:cs="楷体_GB2312" w:hint="eastAsia"/>
          <w:sz w:val="28"/>
          <w:szCs w:val="28"/>
        </w:rPr>
        <w:t>14.14%</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见表</w:t>
      </w:r>
      <w:r>
        <w:rPr>
          <w:rFonts w:ascii="楷体_GB2312" w:eastAsia="楷体_GB2312" w:hAnsi="楷体_GB2312" w:cs="楷体_GB2312" w:hint="eastAsia"/>
          <w:sz w:val="28"/>
          <w:szCs w:val="28"/>
        </w:rPr>
        <w:t>1-</w:t>
      </w:r>
      <w:r>
        <w:rPr>
          <w:rFonts w:ascii="楷体_GB2312" w:eastAsia="楷体_GB2312" w:hAnsi="楷体_GB2312" w:cs="楷体_GB2312" w:hint="eastAsia"/>
          <w:sz w:val="28"/>
          <w:szCs w:val="28"/>
        </w:rPr>
        <w:t>2</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w:t>
      </w:r>
    </w:p>
    <w:p w:rsidR="00000000" w:rsidRDefault="009A1129">
      <w:pPr>
        <w:spacing w:line="480" w:lineRule="auto"/>
        <w:ind w:firstLineChars="200" w:firstLine="562"/>
        <w:jc w:val="center"/>
        <w:rPr>
          <w:rFonts w:ascii="楷体_GB2312" w:eastAsia="楷体_GB2312" w:hAnsi="楷体_GB2312" w:cs="楷体_GB2312"/>
          <w:b/>
          <w:bCs/>
          <w:sz w:val="28"/>
          <w:szCs w:val="28"/>
        </w:rPr>
      </w:pPr>
      <w:r>
        <w:rPr>
          <w:rFonts w:ascii="楷体_GB2312" w:eastAsia="楷体_GB2312" w:hAnsi="楷体_GB2312" w:cs="楷体_GB2312" w:hint="eastAsia"/>
          <w:b/>
          <w:bCs/>
          <w:sz w:val="28"/>
          <w:szCs w:val="28"/>
        </w:rPr>
        <w:t>表</w:t>
      </w:r>
      <w:r>
        <w:rPr>
          <w:rFonts w:ascii="楷体_GB2312" w:eastAsia="楷体_GB2312" w:hAnsi="楷体_GB2312" w:cs="楷体_GB2312" w:hint="eastAsia"/>
          <w:b/>
          <w:bCs/>
          <w:sz w:val="28"/>
          <w:szCs w:val="28"/>
        </w:rPr>
        <w:t>1-</w:t>
      </w:r>
      <w:r>
        <w:rPr>
          <w:rFonts w:ascii="楷体_GB2312" w:eastAsia="楷体_GB2312" w:hAnsi="楷体_GB2312" w:cs="楷体_GB2312" w:hint="eastAsia"/>
          <w:b/>
          <w:bCs/>
          <w:sz w:val="28"/>
          <w:szCs w:val="28"/>
        </w:rPr>
        <w:t>2</w:t>
      </w:r>
      <w:r>
        <w:rPr>
          <w:rFonts w:ascii="楷体_GB2312" w:eastAsia="楷体_GB2312" w:hAnsi="楷体_GB2312" w:cs="楷体_GB2312" w:hint="eastAsia"/>
          <w:b/>
          <w:bCs/>
          <w:sz w:val="28"/>
          <w:szCs w:val="28"/>
        </w:rPr>
        <w:t xml:space="preserve">  201</w:t>
      </w:r>
      <w:r>
        <w:rPr>
          <w:rFonts w:ascii="楷体_GB2312" w:eastAsia="楷体_GB2312" w:hAnsi="楷体_GB2312" w:cs="楷体_GB2312" w:hint="eastAsia"/>
          <w:b/>
          <w:bCs/>
          <w:sz w:val="28"/>
          <w:szCs w:val="28"/>
        </w:rPr>
        <w:t>7</w:t>
      </w:r>
      <w:r>
        <w:rPr>
          <w:rFonts w:ascii="楷体_GB2312" w:eastAsia="楷体_GB2312" w:hAnsi="楷体_GB2312" w:cs="楷体_GB2312" w:hint="eastAsia"/>
          <w:b/>
          <w:bCs/>
          <w:sz w:val="28"/>
          <w:szCs w:val="28"/>
        </w:rPr>
        <w:t>届毕业生生源地分布情况统计表</w:t>
      </w:r>
    </w:p>
    <w:tbl>
      <w:tblPr>
        <w:tblW w:w="0" w:type="auto"/>
        <w:tblInd w:w="1022" w:type="dxa"/>
        <w:tblLayout w:type="fixed"/>
        <w:tblLook w:val="0000"/>
      </w:tblPr>
      <w:tblGrid>
        <w:gridCol w:w="3423"/>
        <w:gridCol w:w="3644"/>
      </w:tblGrid>
      <w:tr w:rsidR="00000000">
        <w:trPr>
          <w:trHeight w:val="285"/>
          <w:tblHeader/>
        </w:trPr>
        <w:tc>
          <w:tcPr>
            <w:tcW w:w="3423" w:type="dxa"/>
            <w:tcBorders>
              <w:top w:val="single" w:sz="8" w:space="0" w:color="FFFFFF"/>
              <w:left w:val="single" w:sz="8" w:space="0" w:color="FFFFFF"/>
              <w:bottom w:val="single" w:sz="8" w:space="0" w:color="FFFFFF"/>
              <w:right w:val="single" w:sz="8" w:space="0" w:color="FFFFFF"/>
            </w:tcBorders>
            <w:shd w:val="clear" w:color="000000" w:fill="8DB3E2"/>
            <w:vAlign w:val="center"/>
          </w:tcPr>
          <w:p w:rsidR="00000000" w:rsidRDefault="009A1129">
            <w:pPr>
              <w:widowControl/>
              <w:spacing w:line="320" w:lineRule="exact"/>
              <w:jc w:val="center"/>
              <w:rPr>
                <w:rFonts w:ascii="Calibri" w:hAnsi="Calibri"/>
                <w:b/>
                <w:bCs/>
                <w:color w:val="000000"/>
                <w:kern w:val="0"/>
                <w:sz w:val="20"/>
                <w:szCs w:val="20"/>
              </w:rPr>
            </w:pPr>
            <w:r>
              <w:rPr>
                <w:rFonts w:ascii="Calibri" w:hAnsi="Calibri"/>
                <w:b/>
                <w:bCs/>
                <w:color w:val="000000"/>
                <w:sz w:val="20"/>
                <w:szCs w:val="20"/>
              </w:rPr>
              <w:t>生源地</w:t>
            </w:r>
          </w:p>
        </w:tc>
        <w:tc>
          <w:tcPr>
            <w:tcW w:w="3644" w:type="dxa"/>
            <w:tcBorders>
              <w:top w:val="single" w:sz="8" w:space="0" w:color="FFFFFF"/>
              <w:left w:val="nil"/>
              <w:bottom w:val="single" w:sz="8" w:space="0" w:color="FFFFFF"/>
              <w:right w:val="single" w:sz="8" w:space="0" w:color="FFFFFF"/>
            </w:tcBorders>
            <w:shd w:val="clear" w:color="000000" w:fill="8DB3E2"/>
            <w:vAlign w:val="center"/>
          </w:tcPr>
          <w:p w:rsidR="00000000" w:rsidRDefault="009A1129">
            <w:pPr>
              <w:spacing w:line="320" w:lineRule="exact"/>
              <w:jc w:val="center"/>
              <w:rPr>
                <w:rFonts w:ascii="Calibri" w:hAnsi="Calibri"/>
                <w:b/>
                <w:bCs/>
                <w:color w:val="000000"/>
                <w:sz w:val="20"/>
                <w:szCs w:val="20"/>
              </w:rPr>
            </w:pPr>
            <w:r>
              <w:rPr>
                <w:rFonts w:ascii="Calibri" w:hAnsi="Calibri"/>
                <w:b/>
                <w:bCs/>
                <w:color w:val="000000"/>
                <w:sz w:val="20"/>
                <w:szCs w:val="20"/>
              </w:rPr>
              <w:t>本科生人数（人）及所占比例（</w:t>
            </w:r>
            <w:r>
              <w:rPr>
                <w:rFonts w:ascii="Calibri" w:hAnsi="Calibri"/>
                <w:b/>
                <w:bCs/>
                <w:color w:val="000000"/>
                <w:sz w:val="20"/>
                <w:szCs w:val="20"/>
              </w:rPr>
              <w:t>%</w:t>
            </w:r>
            <w:r>
              <w:rPr>
                <w:rFonts w:ascii="Calibri" w:hAnsi="Calibri"/>
                <w:b/>
                <w:bCs/>
                <w:color w:val="000000"/>
                <w:sz w:val="20"/>
                <w:szCs w:val="20"/>
              </w:rPr>
              <w:t>）</w:t>
            </w:r>
          </w:p>
        </w:tc>
      </w:tr>
      <w:tr w:rsidR="00000000">
        <w:trPr>
          <w:trHeight w:val="285"/>
        </w:trPr>
        <w:tc>
          <w:tcPr>
            <w:tcW w:w="3423" w:type="dxa"/>
            <w:tcBorders>
              <w:top w:val="nil"/>
              <w:left w:val="single" w:sz="8" w:space="0" w:color="FFFFFF"/>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江苏</w:t>
            </w:r>
          </w:p>
        </w:tc>
        <w:tc>
          <w:tcPr>
            <w:tcW w:w="3644"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1555 (85.86%)</w:t>
            </w:r>
          </w:p>
        </w:tc>
      </w:tr>
      <w:tr w:rsidR="00000000">
        <w:trPr>
          <w:trHeight w:val="285"/>
        </w:trPr>
        <w:tc>
          <w:tcPr>
            <w:tcW w:w="3423" w:type="dxa"/>
            <w:tcBorders>
              <w:top w:val="nil"/>
              <w:left w:val="single" w:sz="8" w:space="0" w:color="FFFFFF"/>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浙江</w:t>
            </w:r>
          </w:p>
        </w:tc>
        <w:tc>
          <w:tcPr>
            <w:tcW w:w="3644"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65 (3.59%)</w:t>
            </w:r>
          </w:p>
        </w:tc>
      </w:tr>
      <w:tr w:rsidR="00000000">
        <w:trPr>
          <w:trHeight w:val="285"/>
        </w:trPr>
        <w:tc>
          <w:tcPr>
            <w:tcW w:w="3423" w:type="dxa"/>
            <w:tcBorders>
              <w:top w:val="nil"/>
              <w:left w:val="single" w:sz="8" w:space="0" w:color="FFFFFF"/>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安徽</w:t>
            </w:r>
          </w:p>
        </w:tc>
        <w:tc>
          <w:tcPr>
            <w:tcW w:w="3644"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51 (2.82%)</w:t>
            </w:r>
          </w:p>
        </w:tc>
      </w:tr>
      <w:tr w:rsidR="00000000">
        <w:trPr>
          <w:trHeight w:val="285"/>
        </w:trPr>
        <w:tc>
          <w:tcPr>
            <w:tcW w:w="3423" w:type="dxa"/>
            <w:tcBorders>
              <w:top w:val="nil"/>
              <w:left w:val="single" w:sz="8" w:space="0" w:color="FFFFFF"/>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上海</w:t>
            </w:r>
          </w:p>
        </w:tc>
        <w:tc>
          <w:tcPr>
            <w:tcW w:w="3644"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27 (1.49%)</w:t>
            </w:r>
          </w:p>
        </w:tc>
      </w:tr>
      <w:tr w:rsidR="00000000">
        <w:trPr>
          <w:trHeight w:val="285"/>
        </w:trPr>
        <w:tc>
          <w:tcPr>
            <w:tcW w:w="3423" w:type="dxa"/>
            <w:tcBorders>
              <w:top w:val="nil"/>
              <w:left w:val="single" w:sz="8" w:space="0" w:color="FFFFFF"/>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广西</w:t>
            </w:r>
          </w:p>
        </w:tc>
        <w:tc>
          <w:tcPr>
            <w:tcW w:w="3644"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24 (1.33%)</w:t>
            </w:r>
          </w:p>
        </w:tc>
      </w:tr>
      <w:tr w:rsidR="00000000">
        <w:trPr>
          <w:trHeight w:val="285"/>
        </w:trPr>
        <w:tc>
          <w:tcPr>
            <w:tcW w:w="3423" w:type="dxa"/>
            <w:tcBorders>
              <w:top w:val="nil"/>
              <w:left w:val="single" w:sz="8" w:space="0" w:color="FFFFFF"/>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四川</w:t>
            </w:r>
          </w:p>
        </w:tc>
        <w:tc>
          <w:tcPr>
            <w:tcW w:w="3644"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20 (1.10%)</w:t>
            </w:r>
          </w:p>
        </w:tc>
      </w:tr>
      <w:tr w:rsidR="00000000">
        <w:trPr>
          <w:trHeight w:val="285"/>
        </w:trPr>
        <w:tc>
          <w:tcPr>
            <w:tcW w:w="3423" w:type="dxa"/>
            <w:tcBorders>
              <w:top w:val="nil"/>
              <w:left w:val="single" w:sz="8" w:space="0" w:color="FFFFFF"/>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福建</w:t>
            </w:r>
          </w:p>
        </w:tc>
        <w:tc>
          <w:tcPr>
            <w:tcW w:w="3644"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20 (1.10%)</w:t>
            </w:r>
          </w:p>
        </w:tc>
      </w:tr>
      <w:tr w:rsidR="00000000">
        <w:trPr>
          <w:trHeight w:val="285"/>
        </w:trPr>
        <w:tc>
          <w:tcPr>
            <w:tcW w:w="3423" w:type="dxa"/>
            <w:tcBorders>
              <w:top w:val="nil"/>
              <w:left w:val="single" w:sz="8" w:space="0" w:color="FFFFFF"/>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甘肃</w:t>
            </w:r>
          </w:p>
        </w:tc>
        <w:tc>
          <w:tcPr>
            <w:tcW w:w="3644"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19 (1.04%)</w:t>
            </w:r>
          </w:p>
        </w:tc>
      </w:tr>
      <w:tr w:rsidR="00000000">
        <w:trPr>
          <w:trHeight w:val="285"/>
        </w:trPr>
        <w:tc>
          <w:tcPr>
            <w:tcW w:w="3423" w:type="dxa"/>
            <w:tcBorders>
              <w:top w:val="nil"/>
              <w:left w:val="single" w:sz="8" w:space="0" w:color="FFFFFF"/>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山西</w:t>
            </w:r>
          </w:p>
        </w:tc>
        <w:tc>
          <w:tcPr>
            <w:tcW w:w="3644"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10 (0.55%)</w:t>
            </w:r>
          </w:p>
        </w:tc>
      </w:tr>
      <w:tr w:rsidR="00000000">
        <w:trPr>
          <w:trHeight w:val="285"/>
        </w:trPr>
        <w:tc>
          <w:tcPr>
            <w:tcW w:w="3423" w:type="dxa"/>
            <w:tcBorders>
              <w:top w:val="nil"/>
              <w:left w:val="single" w:sz="8" w:space="0" w:color="FFFFFF"/>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山东</w:t>
            </w:r>
          </w:p>
        </w:tc>
        <w:tc>
          <w:tcPr>
            <w:tcW w:w="3644"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9 (0.50%)</w:t>
            </w:r>
          </w:p>
        </w:tc>
      </w:tr>
      <w:tr w:rsidR="00000000">
        <w:trPr>
          <w:trHeight w:val="285"/>
        </w:trPr>
        <w:tc>
          <w:tcPr>
            <w:tcW w:w="3423" w:type="dxa"/>
            <w:tcBorders>
              <w:top w:val="nil"/>
              <w:left w:val="single" w:sz="8" w:space="0" w:color="FFFFFF"/>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重庆</w:t>
            </w:r>
          </w:p>
        </w:tc>
        <w:tc>
          <w:tcPr>
            <w:tcW w:w="3644"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8 (0.44%)</w:t>
            </w:r>
          </w:p>
        </w:tc>
      </w:tr>
      <w:tr w:rsidR="00000000">
        <w:trPr>
          <w:trHeight w:val="285"/>
        </w:trPr>
        <w:tc>
          <w:tcPr>
            <w:tcW w:w="3423" w:type="dxa"/>
            <w:tcBorders>
              <w:top w:val="nil"/>
              <w:left w:val="single" w:sz="8" w:space="0" w:color="FFFFFF"/>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黑龙江</w:t>
            </w:r>
          </w:p>
        </w:tc>
        <w:tc>
          <w:tcPr>
            <w:tcW w:w="3644"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1 (0.06%)</w:t>
            </w:r>
          </w:p>
        </w:tc>
      </w:tr>
      <w:tr w:rsidR="00000000">
        <w:trPr>
          <w:trHeight w:val="285"/>
        </w:trPr>
        <w:tc>
          <w:tcPr>
            <w:tcW w:w="3423" w:type="dxa"/>
            <w:tcBorders>
              <w:top w:val="nil"/>
              <w:left w:val="single" w:sz="8" w:space="0" w:color="FFFFFF"/>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lastRenderedPageBreak/>
              <w:t>广东</w:t>
            </w:r>
          </w:p>
        </w:tc>
        <w:tc>
          <w:tcPr>
            <w:tcW w:w="3644"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1 (0.06%)</w:t>
            </w:r>
          </w:p>
        </w:tc>
      </w:tr>
      <w:tr w:rsidR="00000000">
        <w:trPr>
          <w:trHeight w:val="285"/>
        </w:trPr>
        <w:tc>
          <w:tcPr>
            <w:tcW w:w="3423" w:type="dxa"/>
            <w:tcBorders>
              <w:top w:val="nil"/>
              <w:left w:val="single" w:sz="8" w:space="0" w:color="FFFFFF"/>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湖北</w:t>
            </w:r>
          </w:p>
        </w:tc>
        <w:tc>
          <w:tcPr>
            <w:tcW w:w="3644"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1 (0.06%)</w:t>
            </w:r>
          </w:p>
        </w:tc>
      </w:tr>
    </w:tbl>
    <w:p w:rsidR="00000000" w:rsidRDefault="009A1129">
      <w:pPr>
        <w:spacing w:line="480" w:lineRule="auto"/>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我院江苏生源主要分布在南通、苏州、宿迁、盐城、无锡</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泰州、</w:t>
      </w:r>
      <w:r>
        <w:rPr>
          <w:rFonts w:ascii="楷体_GB2312" w:eastAsia="楷体_GB2312" w:hAnsi="楷体_GB2312" w:cs="楷体_GB2312" w:hint="eastAsia"/>
          <w:sz w:val="28"/>
          <w:szCs w:val="28"/>
        </w:rPr>
        <w:t>扬州</w:t>
      </w:r>
      <w:r>
        <w:rPr>
          <w:rFonts w:ascii="楷体_GB2312" w:eastAsia="楷体_GB2312" w:hAnsi="楷体_GB2312" w:cs="楷体_GB2312" w:hint="eastAsia"/>
          <w:sz w:val="28"/>
          <w:szCs w:val="28"/>
        </w:rPr>
        <w:t>等地</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见表</w:t>
      </w:r>
      <w:r>
        <w:rPr>
          <w:rFonts w:ascii="楷体_GB2312" w:eastAsia="楷体_GB2312" w:hAnsi="楷体_GB2312" w:cs="楷体_GB2312" w:hint="eastAsia"/>
          <w:sz w:val="28"/>
          <w:szCs w:val="28"/>
        </w:rPr>
        <w:t>1</w:t>
      </w:r>
      <w:r>
        <w:rPr>
          <w:rFonts w:ascii="楷体_GB2312" w:eastAsia="楷体_GB2312" w:hAnsi="楷体_GB2312" w:cs="楷体_GB2312" w:hint="eastAsia"/>
          <w:sz w:val="28"/>
          <w:szCs w:val="28"/>
        </w:rPr>
        <w:t>-3</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w:t>
      </w:r>
    </w:p>
    <w:p w:rsidR="00000000" w:rsidRDefault="009A1129">
      <w:pPr>
        <w:spacing w:line="480" w:lineRule="auto"/>
        <w:jc w:val="center"/>
        <w:rPr>
          <w:rFonts w:ascii="楷体_GB2312" w:eastAsia="楷体_GB2312" w:hAnsi="楷体_GB2312" w:cs="楷体_GB2312"/>
          <w:b/>
          <w:bCs/>
          <w:sz w:val="28"/>
          <w:szCs w:val="28"/>
        </w:rPr>
      </w:pPr>
      <w:r>
        <w:rPr>
          <w:rFonts w:ascii="楷体_GB2312" w:eastAsia="楷体_GB2312" w:hAnsi="楷体_GB2312" w:cs="楷体_GB2312" w:hint="eastAsia"/>
          <w:b/>
          <w:bCs/>
          <w:sz w:val="28"/>
          <w:szCs w:val="28"/>
        </w:rPr>
        <w:t>表</w:t>
      </w:r>
      <w:r>
        <w:rPr>
          <w:rFonts w:ascii="楷体_GB2312" w:eastAsia="楷体_GB2312" w:hAnsi="楷体_GB2312" w:cs="楷体_GB2312" w:hint="eastAsia"/>
          <w:b/>
          <w:bCs/>
          <w:sz w:val="28"/>
          <w:szCs w:val="28"/>
        </w:rPr>
        <w:t>1-</w:t>
      </w:r>
      <w:r>
        <w:rPr>
          <w:rFonts w:ascii="楷体_GB2312" w:eastAsia="楷体_GB2312" w:hAnsi="楷体_GB2312" w:cs="楷体_GB2312" w:hint="eastAsia"/>
          <w:b/>
          <w:bCs/>
          <w:sz w:val="28"/>
          <w:szCs w:val="28"/>
        </w:rPr>
        <w:t>3</w:t>
      </w:r>
      <w:r>
        <w:rPr>
          <w:rFonts w:ascii="楷体_GB2312" w:eastAsia="楷体_GB2312" w:hAnsi="楷体_GB2312" w:cs="楷体_GB2312" w:hint="eastAsia"/>
          <w:b/>
          <w:bCs/>
          <w:sz w:val="28"/>
          <w:szCs w:val="28"/>
        </w:rPr>
        <w:t xml:space="preserve">  201</w:t>
      </w:r>
      <w:r>
        <w:rPr>
          <w:rFonts w:ascii="楷体_GB2312" w:eastAsia="楷体_GB2312" w:hAnsi="楷体_GB2312" w:cs="楷体_GB2312" w:hint="eastAsia"/>
          <w:b/>
          <w:bCs/>
          <w:sz w:val="28"/>
          <w:szCs w:val="28"/>
        </w:rPr>
        <w:t>7</w:t>
      </w:r>
      <w:r>
        <w:rPr>
          <w:rFonts w:ascii="楷体_GB2312" w:eastAsia="楷体_GB2312" w:hAnsi="楷体_GB2312" w:cs="楷体_GB2312" w:hint="eastAsia"/>
          <w:b/>
          <w:bCs/>
          <w:sz w:val="28"/>
          <w:szCs w:val="28"/>
        </w:rPr>
        <w:t>届毕业生江苏生源分布情况统计表</w:t>
      </w:r>
    </w:p>
    <w:tbl>
      <w:tblPr>
        <w:tblW w:w="0" w:type="auto"/>
        <w:jc w:val="center"/>
        <w:tblInd w:w="0" w:type="dxa"/>
        <w:tblLayout w:type="fixed"/>
        <w:tblCellMar>
          <w:top w:w="15" w:type="dxa"/>
          <w:left w:w="15" w:type="dxa"/>
          <w:bottom w:w="15" w:type="dxa"/>
          <w:right w:w="15" w:type="dxa"/>
        </w:tblCellMar>
        <w:tblLook w:val="0000"/>
      </w:tblPr>
      <w:tblGrid>
        <w:gridCol w:w="1080"/>
        <w:gridCol w:w="1080"/>
        <w:gridCol w:w="1310"/>
        <w:gridCol w:w="1590"/>
      </w:tblGrid>
      <w:tr w:rsidR="00000000">
        <w:trPr>
          <w:trHeight w:val="450"/>
          <w:jc w:val="center"/>
        </w:trPr>
        <w:tc>
          <w:tcPr>
            <w:tcW w:w="1080" w:type="dxa"/>
            <w:shd w:val="clear" w:color="5B9BD5" w:fill="8DB3E2"/>
            <w:vAlign w:val="center"/>
          </w:tcPr>
          <w:p w:rsidR="00000000" w:rsidRDefault="009A1129">
            <w:pPr>
              <w:widowControl/>
              <w:jc w:val="center"/>
              <w:textAlignment w:val="center"/>
              <w:rPr>
                <w:rFonts w:ascii="Calibri" w:hAnsi="Calibri" w:cs="Calibri"/>
                <w:b/>
                <w:color w:val="000000"/>
                <w:sz w:val="24"/>
                <w:szCs w:val="24"/>
              </w:rPr>
            </w:pPr>
            <w:r>
              <w:rPr>
                <w:rFonts w:ascii="Calibri" w:hAnsi="Calibri" w:cs="Calibri"/>
                <w:b/>
                <w:color w:val="000000"/>
                <w:kern w:val="0"/>
                <w:sz w:val="24"/>
                <w:szCs w:val="24"/>
                <w:lang/>
              </w:rPr>
              <w:t>序号</w:t>
            </w:r>
          </w:p>
        </w:tc>
        <w:tc>
          <w:tcPr>
            <w:tcW w:w="1080" w:type="dxa"/>
            <w:shd w:val="clear" w:color="5B9BD5" w:fill="8DB3E2"/>
            <w:vAlign w:val="center"/>
          </w:tcPr>
          <w:p w:rsidR="00000000" w:rsidRDefault="009A1129">
            <w:pPr>
              <w:widowControl/>
              <w:jc w:val="center"/>
              <w:textAlignment w:val="center"/>
              <w:rPr>
                <w:rFonts w:ascii="Calibri" w:hAnsi="Calibri" w:cs="Calibri"/>
                <w:b/>
                <w:color w:val="000000"/>
                <w:sz w:val="24"/>
                <w:szCs w:val="24"/>
              </w:rPr>
            </w:pPr>
            <w:r>
              <w:rPr>
                <w:rFonts w:ascii="Calibri" w:hAnsi="Calibri" w:cs="Calibri"/>
                <w:b/>
                <w:color w:val="000000"/>
                <w:kern w:val="0"/>
                <w:sz w:val="24"/>
                <w:szCs w:val="24"/>
                <w:lang/>
              </w:rPr>
              <w:t>辖市</w:t>
            </w:r>
          </w:p>
        </w:tc>
        <w:tc>
          <w:tcPr>
            <w:tcW w:w="1310" w:type="dxa"/>
            <w:shd w:val="clear" w:color="5B9BD5" w:fill="8DB3E2"/>
            <w:vAlign w:val="center"/>
          </w:tcPr>
          <w:p w:rsidR="00000000" w:rsidRDefault="009A1129">
            <w:pPr>
              <w:widowControl/>
              <w:jc w:val="center"/>
              <w:textAlignment w:val="center"/>
              <w:rPr>
                <w:rFonts w:ascii="Calibri" w:hAnsi="Calibri" w:cs="Calibri"/>
                <w:b/>
                <w:color w:val="000000"/>
                <w:sz w:val="24"/>
                <w:szCs w:val="24"/>
              </w:rPr>
            </w:pPr>
            <w:r>
              <w:rPr>
                <w:rFonts w:ascii="Calibri" w:hAnsi="Calibri" w:cs="Calibri"/>
                <w:b/>
                <w:color w:val="000000"/>
                <w:kern w:val="0"/>
                <w:sz w:val="24"/>
                <w:szCs w:val="24"/>
                <w:lang/>
              </w:rPr>
              <w:t>本科生人</w:t>
            </w:r>
            <w:r>
              <w:rPr>
                <w:rFonts w:ascii="Calibri" w:hAnsi="Calibri" w:cs="Calibri"/>
                <w:b/>
                <w:color w:val="000000"/>
                <w:kern w:val="0"/>
                <w:sz w:val="24"/>
                <w:szCs w:val="24"/>
                <w:lang/>
              </w:rPr>
              <w:t>数</w:t>
            </w:r>
          </w:p>
        </w:tc>
        <w:tc>
          <w:tcPr>
            <w:tcW w:w="1590" w:type="dxa"/>
            <w:shd w:val="clear" w:color="5B9BD5" w:fill="8DB3E2"/>
            <w:vAlign w:val="center"/>
          </w:tcPr>
          <w:p w:rsidR="00000000" w:rsidRDefault="009A1129">
            <w:pPr>
              <w:widowControl/>
              <w:jc w:val="center"/>
              <w:textAlignment w:val="center"/>
              <w:rPr>
                <w:rFonts w:ascii="Calibri" w:hAnsi="Calibri" w:cs="Calibri"/>
                <w:b/>
                <w:color w:val="000000"/>
                <w:sz w:val="24"/>
                <w:szCs w:val="24"/>
              </w:rPr>
            </w:pPr>
            <w:r>
              <w:rPr>
                <w:rFonts w:ascii="Calibri" w:hAnsi="Calibri" w:cs="Calibri"/>
                <w:b/>
                <w:color w:val="000000"/>
                <w:kern w:val="0"/>
                <w:sz w:val="24"/>
                <w:szCs w:val="24"/>
                <w:lang/>
              </w:rPr>
              <w:t>比例（</w:t>
            </w:r>
            <w:r>
              <w:rPr>
                <w:rFonts w:ascii="Calibri" w:hAnsi="Calibri" w:cs="Calibri"/>
                <w:b/>
                <w:color w:val="000000"/>
                <w:kern w:val="0"/>
                <w:sz w:val="24"/>
                <w:szCs w:val="24"/>
                <w:lang/>
              </w:rPr>
              <w:t>%</w:t>
            </w:r>
            <w:r>
              <w:rPr>
                <w:rFonts w:ascii="Calibri" w:hAnsi="Calibri" w:cs="Calibri"/>
                <w:b/>
                <w:color w:val="000000"/>
                <w:kern w:val="0"/>
                <w:sz w:val="24"/>
                <w:szCs w:val="24"/>
                <w:lang/>
              </w:rPr>
              <w:t>）</w:t>
            </w:r>
          </w:p>
        </w:tc>
      </w:tr>
      <w:tr w:rsidR="00000000">
        <w:trPr>
          <w:trHeight w:val="465"/>
          <w:jc w:val="center"/>
        </w:trPr>
        <w:tc>
          <w:tcPr>
            <w:tcW w:w="1080" w:type="dxa"/>
            <w:shd w:val="clear" w:color="auto" w:fill="F6F8FC"/>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1</w:t>
            </w:r>
          </w:p>
        </w:tc>
        <w:tc>
          <w:tcPr>
            <w:tcW w:w="1080" w:type="dxa"/>
            <w:shd w:val="clear" w:color="auto" w:fill="F6F8FC"/>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常州市</w:t>
            </w:r>
          </w:p>
        </w:tc>
        <w:tc>
          <w:tcPr>
            <w:tcW w:w="1310" w:type="dxa"/>
            <w:shd w:val="clear" w:color="auto" w:fill="F6F8FC"/>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hint="eastAsia"/>
                <w:color w:val="000000"/>
                <w:kern w:val="0"/>
                <w:sz w:val="24"/>
                <w:szCs w:val="24"/>
                <w:lang/>
              </w:rPr>
              <w:t>60</w:t>
            </w:r>
          </w:p>
        </w:tc>
        <w:tc>
          <w:tcPr>
            <w:tcW w:w="1590" w:type="dxa"/>
            <w:shd w:val="clear" w:color="auto" w:fill="F6F8FC"/>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hint="eastAsia"/>
                <w:color w:val="000000"/>
                <w:kern w:val="0"/>
                <w:sz w:val="24"/>
                <w:szCs w:val="24"/>
                <w:lang/>
              </w:rPr>
              <w:t>3.31</w:t>
            </w:r>
            <w:r>
              <w:rPr>
                <w:rFonts w:ascii="Calibri" w:hAnsi="Calibri" w:cs="Calibri"/>
                <w:color w:val="000000"/>
                <w:kern w:val="0"/>
                <w:sz w:val="24"/>
                <w:szCs w:val="24"/>
                <w:lang/>
              </w:rPr>
              <w:t>%</w:t>
            </w:r>
          </w:p>
        </w:tc>
      </w:tr>
      <w:tr w:rsidR="00000000">
        <w:trPr>
          <w:trHeight w:val="405"/>
          <w:jc w:val="center"/>
        </w:trPr>
        <w:tc>
          <w:tcPr>
            <w:tcW w:w="1080" w:type="dxa"/>
            <w:shd w:val="clear" w:color="auto" w:fill="C5D5E9"/>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2</w:t>
            </w:r>
          </w:p>
        </w:tc>
        <w:tc>
          <w:tcPr>
            <w:tcW w:w="1080" w:type="dxa"/>
            <w:shd w:val="clear" w:color="auto" w:fill="C5D5E9"/>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淮安市</w:t>
            </w:r>
          </w:p>
        </w:tc>
        <w:tc>
          <w:tcPr>
            <w:tcW w:w="1310" w:type="dxa"/>
            <w:shd w:val="clear" w:color="auto" w:fill="C5D5E9"/>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hint="eastAsia"/>
                <w:color w:val="000000"/>
                <w:kern w:val="0"/>
                <w:sz w:val="24"/>
                <w:szCs w:val="24"/>
                <w:lang/>
              </w:rPr>
              <w:t>59</w:t>
            </w:r>
          </w:p>
        </w:tc>
        <w:tc>
          <w:tcPr>
            <w:tcW w:w="1590" w:type="dxa"/>
            <w:shd w:val="clear" w:color="auto" w:fill="C5D5E9"/>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hint="eastAsia"/>
                <w:color w:val="000000"/>
                <w:kern w:val="0"/>
                <w:sz w:val="24"/>
                <w:szCs w:val="24"/>
                <w:lang/>
              </w:rPr>
              <w:t>3.26</w:t>
            </w:r>
            <w:r>
              <w:rPr>
                <w:rFonts w:ascii="Calibri" w:hAnsi="Calibri" w:cs="Calibri"/>
                <w:color w:val="000000"/>
                <w:kern w:val="0"/>
                <w:sz w:val="24"/>
                <w:szCs w:val="24"/>
                <w:lang/>
              </w:rPr>
              <w:t>%</w:t>
            </w:r>
          </w:p>
        </w:tc>
      </w:tr>
      <w:tr w:rsidR="00000000">
        <w:trPr>
          <w:trHeight w:val="465"/>
          <w:jc w:val="center"/>
        </w:trPr>
        <w:tc>
          <w:tcPr>
            <w:tcW w:w="1080" w:type="dxa"/>
            <w:shd w:val="clear" w:color="auto" w:fill="F6F8FC"/>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3</w:t>
            </w:r>
          </w:p>
        </w:tc>
        <w:tc>
          <w:tcPr>
            <w:tcW w:w="1080" w:type="dxa"/>
            <w:shd w:val="clear" w:color="auto" w:fill="F6F8FC"/>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连云港</w:t>
            </w:r>
          </w:p>
        </w:tc>
        <w:tc>
          <w:tcPr>
            <w:tcW w:w="1310" w:type="dxa"/>
            <w:shd w:val="clear" w:color="auto" w:fill="F6F8FC"/>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hint="eastAsia"/>
                <w:color w:val="000000"/>
                <w:kern w:val="0"/>
                <w:sz w:val="24"/>
                <w:szCs w:val="24"/>
                <w:lang/>
              </w:rPr>
              <w:t>36</w:t>
            </w:r>
          </w:p>
        </w:tc>
        <w:tc>
          <w:tcPr>
            <w:tcW w:w="1590" w:type="dxa"/>
            <w:shd w:val="clear" w:color="auto" w:fill="F6F8FC"/>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hint="eastAsia"/>
                <w:color w:val="000000"/>
                <w:kern w:val="0"/>
                <w:sz w:val="24"/>
                <w:szCs w:val="24"/>
                <w:lang/>
              </w:rPr>
              <w:t>1.99</w:t>
            </w:r>
            <w:r>
              <w:rPr>
                <w:rFonts w:ascii="Calibri" w:hAnsi="Calibri" w:cs="Calibri"/>
                <w:color w:val="000000"/>
                <w:kern w:val="0"/>
                <w:sz w:val="24"/>
                <w:szCs w:val="24"/>
                <w:lang/>
              </w:rPr>
              <w:t>%</w:t>
            </w:r>
          </w:p>
        </w:tc>
      </w:tr>
      <w:tr w:rsidR="00000000">
        <w:trPr>
          <w:trHeight w:val="450"/>
          <w:jc w:val="center"/>
        </w:trPr>
        <w:tc>
          <w:tcPr>
            <w:tcW w:w="1080" w:type="dxa"/>
            <w:shd w:val="clear" w:color="auto" w:fill="C5D5E9"/>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4</w:t>
            </w:r>
          </w:p>
        </w:tc>
        <w:tc>
          <w:tcPr>
            <w:tcW w:w="1080" w:type="dxa"/>
            <w:shd w:val="clear" w:color="auto" w:fill="C5D5E9"/>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南京市</w:t>
            </w:r>
          </w:p>
        </w:tc>
        <w:tc>
          <w:tcPr>
            <w:tcW w:w="1310" w:type="dxa"/>
            <w:shd w:val="clear" w:color="auto" w:fill="C5D5E9"/>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hint="eastAsia"/>
                <w:color w:val="000000"/>
                <w:kern w:val="0"/>
                <w:sz w:val="24"/>
                <w:szCs w:val="24"/>
                <w:lang/>
              </w:rPr>
              <w:t>34</w:t>
            </w:r>
          </w:p>
        </w:tc>
        <w:tc>
          <w:tcPr>
            <w:tcW w:w="1590" w:type="dxa"/>
            <w:shd w:val="clear" w:color="auto" w:fill="C5D5E9"/>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hint="eastAsia"/>
                <w:color w:val="000000"/>
                <w:kern w:val="0"/>
                <w:sz w:val="24"/>
                <w:szCs w:val="24"/>
                <w:lang/>
              </w:rPr>
              <w:t>1.88</w:t>
            </w:r>
            <w:r>
              <w:rPr>
                <w:rFonts w:ascii="Calibri" w:hAnsi="Calibri" w:cs="Calibri"/>
                <w:color w:val="000000"/>
                <w:kern w:val="0"/>
                <w:sz w:val="24"/>
                <w:szCs w:val="24"/>
                <w:lang/>
              </w:rPr>
              <w:t>%</w:t>
            </w:r>
          </w:p>
        </w:tc>
      </w:tr>
      <w:tr w:rsidR="00000000">
        <w:trPr>
          <w:trHeight w:val="555"/>
          <w:jc w:val="center"/>
        </w:trPr>
        <w:tc>
          <w:tcPr>
            <w:tcW w:w="1080" w:type="dxa"/>
            <w:shd w:val="clear" w:color="auto" w:fill="F6F8FC"/>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5</w:t>
            </w:r>
          </w:p>
        </w:tc>
        <w:tc>
          <w:tcPr>
            <w:tcW w:w="1080" w:type="dxa"/>
            <w:shd w:val="clear" w:color="auto" w:fill="F6F8FC"/>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南通市</w:t>
            </w:r>
          </w:p>
        </w:tc>
        <w:tc>
          <w:tcPr>
            <w:tcW w:w="1310" w:type="dxa"/>
            <w:shd w:val="clear" w:color="auto" w:fill="F6F8FC"/>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hint="eastAsia"/>
                <w:color w:val="000000"/>
                <w:kern w:val="0"/>
                <w:sz w:val="24"/>
                <w:szCs w:val="24"/>
                <w:lang/>
              </w:rPr>
              <w:t>499</w:t>
            </w:r>
          </w:p>
        </w:tc>
        <w:tc>
          <w:tcPr>
            <w:tcW w:w="1590" w:type="dxa"/>
            <w:shd w:val="clear" w:color="auto" w:fill="F6F8FC"/>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hint="eastAsia"/>
                <w:color w:val="000000"/>
                <w:kern w:val="0"/>
                <w:sz w:val="24"/>
                <w:szCs w:val="24"/>
                <w:lang/>
              </w:rPr>
              <w:t>27.56</w:t>
            </w:r>
            <w:r>
              <w:rPr>
                <w:rFonts w:ascii="Calibri" w:hAnsi="Calibri" w:cs="Calibri"/>
                <w:color w:val="000000"/>
                <w:kern w:val="0"/>
                <w:sz w:val="24"/>
                <w:szCs w:val="24"/>
                <w:lang/>
              </w:rPr>
              <w:t>%</w:t>
            </w:r>
          </w:p>
        </w:tc>
      </w:tr>
      <w:tr w:rsidR="00000000">
        <w:trPr>
          <w:trHeight w:val="555"/>
          <w:jc w:val="center"/>
        </w:trPr>
        <w:tc>
          <w:tcPr>
            <w:tcW w:w="1080" w:type="dxa"/>
            <w:shd w:val="clear" w:color="auto" w:fill="C5D5E9"/>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6</w:t>
            </w:r>
          </w:p>
        </w:tc>
        <w:tc>
          <w:tcPr>
            <w:tcW w:w="1080" w:type="dxa"/>
            <w:shd w:val="clear" w:color="auto" w:fill="C5D5E9"/>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苏州市</w:t>
            </w:r>
          </w:p>
        </w:tc>
        <w:tc>
          <w:tcPr>
            <w:tcW w:w="1310" w:type="dxa"/>
            <w:shd w:val="clear" w:color="auto" w:fill="C5D5E9"/>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hint="eastAsia"/>
                <w:color w:val="000000"/>
                <w:kern w:val="0"/>
                <w:sz w:val="24"/>
                <w:szCs w:val="24"/>
                <w:lang/>
              </w:rPr>
              <w:t>247</w:t>
            </w:r>
          </w:p>
        </w:tc>
        <w:tc>
          <w:tcPr>
            <w:tcW w:w="1590" w:type="dxa"/>
            <w:shd w:val="clear" w:color="auto" w:fill="C5D5E9"/>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hint="eastAsia"/>
                <w:color w:val="000000"/>
                <w:kern w:val="0"/>
                <w:sz w:val="24"/>
                <w:szCs w:val="24"/>
                <w:lang/>
              </w:rPr>
              <w:t>13.64</w:t>
            </w:r>
            <w:r>
              <w:rPr>
                <w:rFonts w:ascii="Calibri" w:hAnsi="Calibri" w:cs="Calibri"/>
                <w:color w:val="000000"/>
                <w:kern w:val="0"/>
                <w:sz w:val="24"/>
                <w:szCs w:val="24"/>
                <w:lang/>
              </w:rPr>
              <w:t>%</w:t>
            </w:r>
          </w:p>
        </w:tc>
      </w:tr>
      <w:tr w:rsidR="00000000">
        <w:trPr>
          <w:trHeight w:val="585"/>
          <w:jc w:val="center"/>
        </w:trPr>
        <w:tc>
          <w:tcPr>
            <w:tcW w:w="1080" w:type="dxa"/>
            <w:shd w:val="clear" w:color="auto" w:fill="F6F8FC"/>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7</w:t>
            </w:r>
          </w:p>
        </w:tc>
        <w:tc>
          <w:tcPr>
            <w:tcW w:w="1080" w:type="dxa"/>
            <w:shd w:val="clear" w:color="auto" w:fill="F6F8FC"/>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宿迁市</w:t>
            </w:r>
          </w:p>
        </w:tc>
        <w:tc>
          <w:tcPr>
            <w:tcW w:w="1310" w:type="dxa"/>
            <w:shd w:val="clear" w:color="auto" w:fill="F6F8FC"/>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hint="eastAsia"/>
                <w:color w:val="000000"/>
                <w:kern w:val="0"/>
                <w:sz w:val="24"/>
                <w:szCs w:val="24"/>
                <w:lang/>
              </w:rPr>
              <w:t>132</w:t>
            </w:r>
          </w:p>
        </w:tc>
        <w:tc>
          <w:tcPr>
            <w:tcW w:w="1590" w:type="dxa"/>
            <w:shd w:val="clear" w:color="auto" w:fill="F6F8FC"/>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hint="eastAsia"/>
                <w:color w:val="000000"/>
                <w:kern w:val="0"/>
                <w:sz w:val="24"/>
                <w:szCs w:val="24"/>
                <w:lang/>
              </w:rPr>
              <w:t>7.29</w:t>
            </w:r>
            <w:r>
              <w:rPr>
                <w:rFonts w:ascii="Calibri" w:hAnsi="Calibri" w:cs="Calibri"/>
                <w:color w:val="000000"/>
                <w:kern w:val="0"/>
                <w:sz w:val="24"/>
                <w:szCs w:val="24"/>
                <w:lang/>
              </w:rPr>
              <w:t>%</w:t>
            </w:r>
          </w:p>
        </w:tc>
      </w:tr>
      <w:tr w:rsidR="00000000">
        <w:trPr>
          <w:trHeight w:val="585"/>
          <w:jc w:val="center"/>
        </w:trPr>
        <w:tc>
          <w:tcPr>
            <w:tcW w:w="1080" w:type="dxa"/>
            <w:shd w:val="clear" w:color="auto" w:fill="F6F8FC"/>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8</w:t>
            </w:r>
          </w:p>
        </w:tc>
        <w:tc>
          <w:tcPr>
            <w:tcW w:w="1080" w:type="dxa"/>
            <w:shd w:val="clear" w:color="auto" w:fill="F6F8FC"/>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泰州市</w:t>
            </w:r>
          </w:p>
        </w:tc>
        <w:tc>
          <w:tcPr>
            <w:tcW w:w="1310" w:type="dxa"/>
            <w:shd w:val="clear" w:color="auto" w:fill="F6F8FC"/>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hint="eastAsia"/>
                <w:color w:val="000000"/>
                <w:kern w:val="0"/>
                <w:sz w:val="24"/>
                <w:szCs w:val="24"/>
                <w:lang/>
              </w:rPr>
              <w:t>96</w:t>
            </w:r>
          </w:p>
        </w:tc>
        <w:tc>
          <w:tcPr>
            <w:tcW w:w="1590" w:type="dxa"/>
            <w:shd w:val="clear" w:color="auto" w:fill="F6F8FC"/>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hint="eastAsia"/>
                <w:color w:val="000000"/>
                <w:kern w:val="0"/>
                <w:sz w:val="24"/>
                <w:szCs w:val="24"/>
                <w:lang/>
              </w:rPr>
              <w:t>5.30</w:t>
            </w:r>
            <w:r>
              <w:rPr>
                <w:rFonts w:ascii="Calibri" w:hAnsi="Calibri" w:cs="Calibri"/>
                <w:color w:val="000000"/>
                <w:kern w:val="0"/>
                <w:sz w:val="24"/>
                <w:szCs w:val="24"/>
                <w:lang/>
              </w:rPr>
              <w:t>%</w:t>
            </w:r>
          </w:p>
        </w:tc>
      </w:tr>
      <w:tr w:rsidR="00000000">
        <w:trPr>
          <w:trHeight w:val="570"/>
          <w:jc w:val="center"/>
        </w:trPr>
        <w:tc>
          <w:tcPr>
            <w:tcW w:w="1080" w:type="dxa"/>
            <w:shd w:val="clear" w:color="auto" w:fill="C5D5E9"/>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9</w:t>
            </w:r>
          </w:p>
        </w:tc>
        <w:tc>
          <w:tcPr>
            <w:tcW w:w="1080" w:type="dxa"/>
            <w:shd w:val="clear" w:color="auto" w:fill="C5D5E9"/>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无锡市</w:t>
            </w:r>
          </w:p>
        </w:tc>
        <w:tc>
          <w:tcPr>
            <w:tcW w:w="1310" w:type="dxa"/>
            <w:shd w:val="clear" w:color="auto" w:fill="C5D5E9"/>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hint="eastAsia"/>
                <w:color w:val="000000"/>
                <w:kern w:val="0"/>
                <w:sz w:val="24"/>
                <w:szCs w:val="24"/>
                <w:lang/>
              </w:rPr>
              <w:t>99</w:t>
            </w:r>
          </w:p>
        </w:tc>
        <w:tc>
          <w:tcPr>
            <w:tcW w:w="1590" w:type="dxa"/>
            <w:shd w:val="clear" w:color="auto" w:fill="C5D5E9"/>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hint="eastAsia"/>
                <w:color w:val="000000"/>
                <w:kern w:val="0"/>
                <w:sz w:val="24"/>
                <w:szCs w:val="24"/>
                <w:lang/>
              </w:rPr>
              <w:t>5.47</w:t>
            </w:r>
            <w:r>
              <w:rPr>
                <w:rFonts w:ascii="Calibri" w:hAnsi="Calibri" w:cs="Calibri"/>
                <w:color w:val="000000"/>
                <w:kern w:val="0"/>
                <w:sz w:val="24"/>
                <w:szCs w:val="24"/>
                <w:lang/>
              </w:rPr>
              <w:t>%</w:t>
            </w:r>
          </w:p>
        </w:tc>
      </w:tr>
      <w:tr w:rsidR="00000000">
        <w:trPr>
          <w:trHeight w:val="570"/>
          <w:jc w:val="center"/>
        </w:trPr>
        <w:tc>
          <w:tcPr>
            <w:tcW w:w="1080" w:type="dxa"/>
            <w:shd w:val="clear" w:color="auto" w:fill="F6F8FC"/>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10</w:t>
            </w:r>
          </w:p>
        </w:tc>
        <w:tc>
          <w:tcPr>
            <w:tcW w:w="1080" w:type="dxa"/>
            <w:shd w:val="clear" w:color="auto" w:fill="F6F8FC"/>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徐州市</w:t>
            </w:r>
          </w:p>
        </w:tc>
        <w:tc>
          <w:tcPr>
            <w:tcW w:w="1310" w:type="dxa"/>
            <w:shd w:val="clear" w:color="auto" w:fill="F6F8FC"/>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hint="eastAsia"/>
                <w:color w:val="000000"/>
                <w:kern w:val="0"/>
                <w:sz w:val="24"/>
                <w:szCs w:val="24"/>
                <w:lang/>
              </w:rPr>
              <w:t>48</w:t>
            </w:r>
          </w:p>
        </w:tc>
        <w:tc>
          <w:tcPr>
            <w:tcW w:w="1590" w:type="dxa"/>
            <w:shd w:val="clear" w:color="auto" w:fill="F6F8FC"/>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hint="eastAsia"/>
                <w:color w:val="000000"/>
                <w:kern w:val="0"/>
                <w:sz w:val="24"/>
                <w:szCs w:val="24"/>
                <w:lang/>
              </w:rPr>
              <w:t>2.65</w:t>
            </w:r>
            <w:r>
              <w:rPr>
                <w:rFonts w:ascii="Calibri" w:hAnsi="Calibri" w:cs="Calibri"/>
                <w:color w:val="000000"/>
                <w:kern w:val="0"/>
                <w:sz w:val="24"/>
                <w:szCs w:val="24"/>
                <w:lang/>
              </w:rPr>
              <w:t>%</w:t>
            </w:r>
          </w:p>
        </w:tc>
      </w:tr>
      <w:tr w:rsidR="00000000">
        <w:trPr>
          <w:trHeight w:val="525"/>
          <w:jc w:val="center"/>
        </w:trPr>
        <w:tc>
          <w:tcPr>
            <w:tcW w:w="1080" w:type="dxa"/>
            <w:shd w:val="clear" w:color="auto" w:fill="C5D5E9"/>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11</w:t>
            </w:r>
          </w:p>
        </w:tc>
        <w:tc>
          <w:tcPr>
            <w:tcW w:w="1080" w:type="dxa"/>
            <w:shd w:val="clear" w:color="auto" w:fill="C5D5E9"/>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盐城市</w:t>
            </w:r>
          </w:p>
        </w:tc>
        <w:tc>
          <w:tcPr>
            <w:tcW w:w="1310" w:type="dxa"/>
            <w:shd w:val="clear" w:color="auto" w:fill="C5D5E9"/>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hint="eastAsia"/>
                <w:color w:val="000000"/>
                <w:kern w:val="0"/>
                <w:sz w:val="24"/>
                <w:szCs w:val="24"/>
                <w:lang/>
              </w:rPr>
              <w:t>128</w:t>
            </w:r>
          </w:p>
        </w:tc>
        <w:tc>
          <w:tcPr>
            <w:tcW w:w="1590" w:type="dxa"/>
            <w:shd w:val="clear" w:color="auto" w:fill="C5D5E9"/>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hint="eastAsia"/>
                <w:color w:val="000000"/>
                <w:kern w:val="0"/>
                <w:sz w:val="24"/>
                <w:szCs w:val="24"/>
                <w:lang/>
              </w:rPr>
              <w:t>7.07</w:t>
            </w:r>
            <w:r>
              <w:rPr>
                <w:rFonts w:ascii="Calibri" w:hAnsi="Calibri" w:cs="Calibri"/>
                <w:color w:val="000000"/>
                <w:kern w:val="0"/>
                <w:sz w:val="24"/>
                <w:szCs w:val="24"/>
                <w:lang/>
              </w:rPr>
              <w:t>%</w:t>
            </w:r>
          </w:p>
        </w:tc>
      </w:tr>
      <w:tr w:rsidR="00000000">
        <w:trPr>
          <w:trHeight w:val="570"/>
          <w:jc w:val="center"/>
        </w:trPr>
        <w:tc>
          <w:tcPr>
            <w:tcW w:w="1080" w:type="dxa"/>
            <w:shd w:val="clear" w:color="auto" w:fill="F6F8FC"/>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12</w:t>
            </w:r>
          </w:p>
        </w:tc>
        <w:tc>
          <w:tcPr>
            <w:tcW w:w="1080" w:type="dxa"/>
            <w:shd w:val="clear" w:color="auto" w:fill="F6F8FC"/>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扬州市</w:t>
            </w:r>
          </w:p>
        </w:tc>
        <w:tc>
          <w:tcPr>
            <w:tcW w:w="1310" w:type="dxa"/>
            <w:shd w:val="clear" w:color="auto" w:fill="F6F8FC"/>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hint="eastAsia"/>
                <w:color w:val="000000"/>
                <w:kern w:val="0"/>
                <w:sz w:val="24"/>
                <w:szCs w:val="24"/>
                <w:lang/>
              </w:rPr>
              <w:t>72</w:t>
            </w:r>
          </w:p>
        </w:tc>
        <w:tc>
          <w:tcPr>
            <w:tcW w:w="1590" w:type="dxa"/>
            <w:shd w:val="clear" w:color="auto" w:fill="F6F8FC"/>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hint="eastAsia"/>
                <w:color w:val="000000"/>
                <w:kern w:val="0"/>
                <w:sz w:val="24"/>
                <w:szCs w:val="24"/>
                <w:lang/>
              </w:rPr>
              <w:t>3.99</w:t>
            </w:r>
            <w:r>
              <w:rPr>
                <w:rFonts w:ascii="Calibri" w:hAnsi="Calibri" w:cs="Calibri"/>
                <w:color w:val="000000"/>
                <w:kern w:val="0"/>
                <w:sz w:val="24"/>
                <w:szCs w:val="24"/>
                <w:lang/>
              </w:rPr>
              <w:t>%</w:t>
            </w:r>
          </w:p>
        </w:tc>
      </w:tr>
      <w:tr w:rsidR="00000000">
        <w:trPr>
          <w:trHeight w:val="570"/>
          <w:jc w:val="center"/>
        </w:trPr>
        <w:tc>
          <w:tcPr>
            <w:tcW w:w="1080" w:type="dxa"/>
            <w:shd w:val="clear" w:color="auto" w:fill="C5D5E9"/>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13</w:t>
            </w:r>
          </w:p>
        </w:tc>
        <w:tc>
          <w:tcPr>
            <w:tcW w:w="1080" w:type="dxa"/>
            <w:shd w:val="clear" w:color="auto" w:fill="C5D5E9"/>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color w:val="000000"/>
                <w:kern w:val="0"/>
                <w:sz w:val="24"/>
                <w:szCs w:val="24"/>
                <w:lang/>
              </w:rPr>
              <w:t>镇江市</w:t>
            </w:r>
          </w:p>
        </w:tc>
        <w:tc>
          <w:tcPr>
            <w:tcW w:w="1310" w:type="dxa"/>
            <w:shd w:val="clear" w:color="auto" w:fill="C5D5E9"/>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hint="eastAsia"/>
                <w:color w:val="000000"/>
                <w:kern w:val="0"/>
                <w:sz w:val="24"/>
                <w:szCs w:val="24"/>
                <w:lang/>
              </w:rPr>
              <w:t>45</w:t>
            </w:r>
          </w:p>
        </w:tc>
        <w:tc>
          <w:tcPr>
            <w:tcW w:w="1590" w:type="dxa"/>
            <w:shd w:val="clear" w:color="auto" w:fill="C5D5E9"/>
            <w:vAlign w:val="center"/>
          </w:tcPr>
          <w:p w:rsidR="00000000" w:rsidRDefault="009A1129">
            <w:pPr>
              <w:widowControl/>
              <w:jc w:val="center"/>
              <w:textAlignment w:val="center"/>
              <w:rPr>
                <w:rFonts w:ascii="Calibri" w:hAnsi="Calibri" w:cs="Calibri"/>
                <w:color w:val="000000"/>
                <w:sz w:val="24"/>
                <w:szCs w:val="24"/>
              </w:rPr>
            </w:pPr>
            <w:r>
              <w:rPr>
                <w:rFonts w:ascii="Calibri" w:hAnsi="Calibri" w:cs="Calibri" w:hint="eastAsia"/>
                <w:color w:val="000000"/>
                <w:kern w:val="0"/>
                <w:sz w:val="24"/>
                <w:szCs w:val="24"/>
                <w:lang/>
              </w:rPr>
              <w:t>2.48</w:t>
            </w:r>
            <w:r>
              <w:rPr>
                <w:rFonts w:ascii="Calibri" w:hAnsi="Calibri" w:cs="Calibri"/>
                <w:color w:val="000000"/>
                <w:kern w:val="0"/>
                <w:sz w:val="24"/>
                <w:szCs w:val="24"/>
                <w:lang/>
              </w:rPr>
              <w:t>%</w:t>
            </w:r>
          </w:p>
        </w:tc>
      </w:tr>
    </w:tbl>
    <w:p w:rsidR="00000000" w:rsidRDefault="009A1129">
      <w:pPr>
        <w:spacing w:line="480" w:lineRule="auto"/>
        <w:rPr>
          <w:rFonts w:ascii="楷体_GB2312" w:eastAsia="楷体_GB2312" w:hAnsi="楷体_GB2312" w:cs="楷体_GB2312" w:hint="eastAsia"/>
          <w:b/>
          <w:bCs/>
          <w:sz w:val="32"/>
          <w:szCs w:val="32"/>
        </w:rPr>
      </w:pPr>
    </w:p>
    <w:p w:rsidR="00000000" w:rsidRDefault="009A1129">
      <w:pPr>
        <w:spacing w:line="480" w:lineRule="auto"/>
        <w:ind w:firstLineChars="147" w:firstLine="472"/>
        <w:jc w:val="left"/>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三、就业率</w:t>
      </w:r>
    </w:p>
    <w:p w:rsidR="00000000" w:rsidRDefault="009A1129">
      <w:pPr>
        <w:spacing w:line="480" w:lineRule="auto"/>
        <w:ind w:left="42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就业率是反映在校大学生就业情况和社会对学校毕</w:t>
      </w:r>
      <w:r>
        <w:rPr>
          <w:rFonts w:ascii="楷体_GB2312" w:eastAsia="楷体_GB2312" w:hAnsi="楷体_GB2312" w:cs="楷体_GB2312" w:hint="eastAsia"/>
          <w:sz w:val="28"/>
          <w:szCs w:val="28"/>
        </w:rPr>
        <w:t>业生需求程度的重</w:t>
      </w:r>
      <w:r>
        <w:rPr>
          <w:rFonts w:ascii="楷体_GB2312" w:eastAsia="楷体_GB2312" w:hAnsi="楷体_GB2312" w:cs="楷体_GB2312" w:hint="eastAsia"/>
          <w:sz w:val="28"/>
          <w:szCs w:val="28"/>
        </w:rPr>
        <w:t>要指数。</w:t>
      </w:r>
      <w:r>
        <w:rPr>
          <w:rFonts w:ascii="楷体_GB2312" w:eastAsia="楷体_GB2312" w:hAnsi="楷体_GB2312" w:cs="楷体_GB2312" w:hint="eastAsia"/>
          <w:sz w:val="28"/>
          <w:szCs w:val="28"/>
        </w:rPr>
        <w:t>高校毕业生就业率计算公式为：毕业生就业率</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（毕业生就业人数÷毕业生总人数）×</w:t>
      </w:r>
      <w:r>
        <w:rPr>
          <w:rFonts w:ascii="楷体_GB2312" w:eastAsia="楷体_GB2312" w:hAnsi="楷体_GB2312" w:cs="楷体_GB2312" w:hint="eastAsia"/>
          <w:sz w:val="28"/>
          <w:szCs w:val="28"/>
        </w:rPr>
        <w:t>100%</w:t>
      </w:r>
      <w:r>
        <w:rPr>
          <w:rFonts w:ascii="楷体_GB2312" w:eastAsia="楷体_GB2312" w:hAnsi="楷体_GB2312" w:cs="楷体_GB2312" w:hint="eastAsia"/>
          <w:sz w:val="28"/>
          <w:szCs w:val="28"/>
        </w:rPr>
        <w:t>。</w:t>
      </w:r>
    </w:p>
    <w:p w:rsidR="00000000" w:rsidRDefault="009A1129">
      <w:pPr>
        <w:numPr>
          <w:ilvl w:val="0"/>
          <w:numId w:val="3"/>
        </w:numPr>
        <w:spacing w:line="480" w:lineRule="auto"/>
        <w:jc w:val="left"/>
        <w:rPr>
          <w:rFonts w:ascii="楷体_GB2312" w:eastAsia="楷体_GB2312" w:hAnsi="楷体_GB2312" w:cs="楷体_GB2312"/>
          <w:b/>
          <w:bCs/>
          <w:sz w:val="28"/>
          <w:szCs w:val="28"/>
        </w:rPr>
      </w:pPr>
      <w:r>
        <w:rPr>
          <w:rFonts w:ascii="楷体_GB2312" w:eastAsia="楷体_GB2312" w:hAnsi="楷体_GB2312" w:cs="楷体_GB2312" w:hint="eastAsia"/>
          <w:b/>
          <w:bCs/>
          <w:sz w:val="28"/>
          <w:szCs w:val="28"/>
        </w:rPr>
        <w:lastRenderedPageBreak/>
        <w:t>毕业生总体就业率</w:t>
      </w:r>
    </w:p>
    <w:p w:rsidR="00000000" w:rsidRDefault="009A1129">
      <w:pPr>
        <w:pStyle w:val="aa"/>
        <w:ind w:firstLineChars="400" w:firstLine="1120"/>
        <w:rPr>
          <w:rFonts w:ascii="楷体_GB2312" w:eastAsia="楷体_GB2312" w:hAnsi="楷体_GB2312" w:cs="楷体_GB2312" w:hint="eastAsia"/>
          <w:sz w:val="28"/>
          <w:szCs w:val="28"/>
        </w:rPr>
      </w:pPr>
      <w:r>
        <w:rPr>
          <w:rFonts w:ascii="楷体_GB2312" w:eastAsia="楷体_GB2312" w:hAnsi="楷体_GB2312" w:cs="楷体_GB2312" w:hint="eastAsia"/>
          <w:sz w:val="28"/>
          <w:szCs w:val="28"/>
        </w:rPr>
        <w:t>截至</w:t>
      </w:r>
      <w:r>
        <w:rPr>
          <w:rFonts w:ascii="楷体_GB2312" w:eastAsia="楷体_GB2312" w:hAnsi="楷体_GB2312" w:cs="楷体_GB2312" w:hint="eastAsia"/>
          <w:sz w:val="28"/>
          <w:szCs w:val="28"/>
        </w:rPr>
        <w:t>201</w:t>
      </w:r>
      <w:r>
        <w:rPr>
          <w:rFonts w:ascii="楷体_GB2312" w:eastAsia="楷体_GB2312" w:hAnsi="楷体_GB2312" w:cs="楷体_GB2312" w:hint="eastAsia"/>
          <w:sz w:val="28"/>
          <w:szCs w:val="28"/>
        </w:rPr>
        <w:t>7</w:t>
      </w:r>
      <w:r>
        <w:rPr>
          <w:rFonts w:ascii="楷体_GB2312" w:eastAsia="楷体_GB2312" w:hAnsi="楷体_GB2312" w:cs="楷体_GB2312" w:hint="eastAsia"/>
          <w:sz w:val="28"/>
          <w:szCs w:val="28"/>
        </w:rPr>
        <w:t>年</w:t>
      </w:r>
      <w:r>
        <w:rPr>
          <w:rFonts w:ascii="楷体_GB2312" w:eastAsia="楷体_GB2312" w:hAnsi="楷体_GB2312" w:cs="楷体_GB2312" w:hint="eastAsia"/>
          <w:sz w:val="28"/>
          <w:szCs w:val="28"/>
        </w:rPr>
        <w:t>12</w:t>
      </w:r>
      <w:r>
        <w:rPr>
          <w:rFonts w:ascii="楷体_GB2312" w:eastAsia="楷体_GB2312" w:hAnsi="楷体_GB2312" w:cs="楷体_GB2312" w:hint="eastAsia"/>
          <w:sz w:val="28"/>
          <w:szCs w:val="28"/>
        </w:rPr>
        <w:t>月</w:t>
      </w:r>
      <w:r>
        <w:rPr>
          <w:rFonts w:ascii="楷体_GB2312" w:eastAsia="楷体_GB2312" w:hAnsi="楷体_GB2312" w:cs="楷体_GB2312" w:hint="eastAsia"/>
          <w:sz w:val="28"/>
          <w:szCs w:val="28"/>
        </w:rPr>
        <w:t>25</w:t>
      </w:r>
      <w:r>
        <w:rPr>
          <w:rFonts w:ascii="楷体_GB2312" w:eastAsia="楷体_GB2312" w:hAnsi="楷体_GB2312" w:cs="楷体_GB2312" w:hint="eastAsia"/>
          <w:sz w:val="28"/>
          <w:szCs w:val="28"/>
        </w:rPr>
        <w:t>日</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我院毕业生年终就业率为</w:t>
      </w:r>
      <w:r>
        <w:rPr>
          <w:rFonts w:ascii="楷体_GB2312" w:eastAsia="楷体_GB2312" w:hAnsi="楷体_GB2312" w:cs="楷体_GB2312" w:hint="eastAsia"/>
          <w:sz w:val="28"/>
          <w:szCs w:val="28"/>
        </w:rPr>
        <w:t>97.79</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，其中人</w:t>
      </w:r>
      <w:r>
        <w:rPr>
          <w:rFonts w:ascii="楷体_GB2312" w:eastAsia="楷体_GB2312" w:hAnsi="楷体_GB2312" w:cs="楷体_GB2312" w:hint="eastAsia"/>
          <w:sz w:val="28"/>
          <w:szCs w:val="28"/>
        </w:rPr>
        <w:t>文学部、理学部、</w:t>
      </w:r>
      <w:r>
        <w:rPr>
          <w:rFonts w:ascii="楷体_GB2312" w:eastAsia="楷体_GB2312" w:hAnsi="楷体_GB2312" w:cs="楷体_GB2312" w:hint="eastAsia"/>
          <w:sz w:val="28"/>
          <w:szCs w:val="28"/>
        </w:rPr>
        <w:t>工程学部</w:t>
      </w:r>
      <w:r>
        <w:rPr>
          <w:rFonts w:ascii="楷体_GB2312" w:eastAsia="楷体_GB2312" w:hAnsi="楷体_GB2312" w:cs="楷体_GB2312" w:hint="eastAsia"/>
          <w:sz w:val="28"/>
          <w:szCs w:val="28"/>
        </w:rPr>
        <w:t>为</w:t>
      </w:r>
      <w:r>
        <w:rPr>
          <w:rFonts w:ascii="楷体_GB2312" w:eastAsia="楷体_GB2312" w:hAnsi="楷体_GB2312" w:cs="楷体_GB2312" w:hint="eastAsia"/>
          <w:sz w:val="28"/>
          <w:szCs w:val="28"/>
        </w:rPr>
        <w:t>1</w:t>
      </w:r>
      <w:r>
        <w:rPr>
          <w:rFonts w:ascii="楷体_GB2312" w:eastAsia="楷体_GB2312" w:hAnsi="楷体_GB2312" w:cs="楷体_GB2312" w:hint="eastAsia"/>
          <w:sz w:val="28"/>
          <w:szCs w:val="28"/>
        </w:rPr>
        <w:t>00%</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信息科学部、医学部（四）为</w:t>
      </w:r>
      <w:r>
        <w:rPr>
          <w:rFonts w:ascii="楷体_GB2312" w:eastAsia="楷体_GB2312" w:hAnsi="楷体_GB2312" w:cs="楷体_GB2312" w:hint="eastAsia"/>
          <w:sz w:val="28"/>
          <w:szCs w:val="28"/>
        </w:rPr>
        <w:t>99.59%</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经管</w:t>
      </w:r>
      <w:r>
        <w:rPr>
          <w:rFonts w:ascii="楷体_GB2312" w:eastAsia="楷体_GB2312" w:hAnsi="楷体_GB2312" w:cs="楷体_GB2312" w:hint="eastAsia"/>
          <w:sz w:val="28"/>
          <w:szCs w:val="28"/>
        </w:rPr>
        <w:t>学部为</w:t>
      </w:r>
      <w:r>
        <w:rPr>
          <w:rFonts w:ascii="楷体_GB2312" w:eastAsia="楷体_GB2312" w:hAnsi="楷体_GB2312" w:cs="楷体_GB2312" w:hint="eastAsia"/>
          <w:sz w:val="28"/>
          <w:szCs w:val="28"/>
        </w:rPr>
        <w:t>99.17</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，医学部</w:t>
      </w:r>
      <w:r>
        <w:rPr>
          <w:rFonts w:ascii="楷体_GB2312" w:eastAsia="楷体_GB2312" w:hAnsi="楷体_GB2312" w:cs="楷体_GB2312" w:hint="eastAsia"/>
          <w:sz w:val="28"/>
          <w:szCs w:val="28"/>
        </w:rPr>
        <w:t>（五）</w:t>
      </w:r>
      <w:r>
        <w:rPr>
          <w:rFonts w:ascii="楷体_GB2312" w:eastAsia="楷体_GB2312" w:hAnsi="楷体_GB2312" w:cs="楷体_GB2312" w:hint="eastAsia"/>
          <w:sz w:val="28"/>
          <w:szCs w:val="28"/>
        </w:rPr>
        <w:t>为</w:t>
      </w:r>
      <w:r>
        <w:rPr>
          <w:rFonts w:ascii="楷体_GB2312" w:eastAsia="楷体_GB2312" w:hAnsi="楷体_GB2312" w:cs="楷体_GB2312" w:hint="eastAsia"/>
          <w:sz w:val="28"/>
          <w:szCs w:val="28"/>
        </w:rPr>
        <w:t>91.15%</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见图</w:t>
      </w:r>
      <w:r>
        <w:rPr>
          <w:rFonts w:ascii="楷体_GB2312" w:eastAsia="楷体_GB2312" w:hAnsi="楷体_GB2312" w:cs="楷体_GB2312" w:hint="eastAsia"/>
          <w:sz w:val="28"/>
          <w:szCs w:val="28"/>
        </w:rPr>
        <w:t>1-</w:t>
      </w:r>
      <w:r>
        <w:rPr>
          <w:rFonts w:ascii="楷体_GB2312" w:eastAsia="楷体_GB2312" w:hAnsi="楷体_GB2312" w:cs="楷体_GB2312" w:hint="eastAsia"/>
          <w:sz w:val="28"/>
          <w:szCs w:val="28"/>
        </w:rPr>
        <w:t>4</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6</w:t>
      </w:r>
      <w:r>
        <w:rPr>
          <w:rFonts w:ascii="楷体_GB2312" w:eastAsia="楷体_GB2312" w:hAnsi="楷体_GB2312" w:cs="楷体_GB2312" w:hint="eastAsia"/>
          <w:sz w:val="28"/>
          <w:szCs w:val="28"/>
        </w:rPr>
        <w:t>个学部的年终就业率水平总体较为均衡，其中医学部</w:t>
      </w:r>
      <w:r>
        <w:rPr>
          <w:rFonts w:ascii="楷体_GB2312" w:eastAsia="楷体_GB2312" w:hAnsi="楷体_GB2312" w:cs="楷体_GB2312" w:hint="eastAsia"/>
          <w:sz w:val="28"/>
          <w:szCs w:val="28"/>
        </w:rPr>
        <w:t>（五）</w:t>
      </w:r>
      <w:r>
        <w:rPr>
          <w:rFonts w:ascii="楷体_GB2312" w:eastAsia="楷体_GB2312" w:hAnsi="楷体_GB2312" w:cs="楷体_GB2312" w:hint="eastAsia"/>
          <w:sz w:val="28"/>
          <w:szCs w:val="28"/>
        </w:rPr>
        <w:t>相对较低的原因是医学生到医疗卫生系统就业，必须于毕业当年参加当地统一考试，如未能通过，则于毕业第二年三月份才有机会参</w:t>
      </w:r>
      <w:r>
        <w:rPr>
          <w:rFonts w:ascii="楷体_GB2312" w:eastAsia="楷体_GB2312" w:hAnsi="楷体_GB2312" w:cs="楷体_GB2312" w:hint="eastAsia"/>
          <w:sz w:val="28"/>
          <w:szCs w:val="28"/>
        </w:rPr>
        <w:t>加考试。</w:t>
      </w:r>
    </w:p>
    <w:p w:rsidR="00000000" w:rsidRDefault="006666D3">
      <w:pPr>
        <w:spacing w:line="480" w:lineRule="auto"/>
        <w:jc w:val="left"/>
        <w:rPr>
          <w:rFonts w:ascii="楷体_GB2312" w:eastAsia="楷体_GB2312" w:hAnsi="楷体_GB2312" w:cs="楷体_GB2312" w:hint="eastAsia"/>
          <w:sz w:val="28"/>
          <w:szCs w:val="28"/>
        </w:rPr>
      </w:pPr>
      <w:r>
        <w:rPr>
          <w:noProof/>
        </w:rPr>
        <w:drawing>
          <wp:inline distT="0" distB="0" distL="0" distR="0">
            <wp:extent cx="4982637" cy="2515629"/>
            <wp:effectExtent l="4197" t="4205" r="13791" b="13816"/>
            <wp:docPr id="7" name="图片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00000" w:rsidRDefault="009A1129">
      <w:pPr>
        <w:spacing w:line="480" w:lineRule="auto"/>
        <w:jc w:val="center"/>
        <w:rPr>
          <w:rFonts w:ascii="楷体_GB2312" w:eastAsia="楷体_GB2312" w:hAnsi="楷体_GB2312" w:cs="楷体_GB2312" w:hint="eastAsia"/>
          <w:b/>
          <w:bCs/>
          <w:sz w:val="28"/>
          <w:szCs w:val="28"/>
        </w:rPr>
      </w:pP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w:t>
      </w:r>
      <w:r>
        <w:rPr>
          <w:rFonts w:ascii="楷体_GB2312" w:eastAsia="楷体_GB2312" w:hAnsi="楷体_GB2312" w:cs="楷体_GB2312" w:hint="eastAsia"/>
          <w:b/>
          <w:bCs/>
          <w:sz w:val="28"/>
          <w:szCs w:val="28"/>
        </w:rPr>
        <w:t>4</w:t>
      </w:r>
      <w:r>
        <w:rPr>
          <w:rFonts w:ascii="楷体_GB2312" w:eastAsia="楷体_GB2312" w:hAnsi="楷体_GB2312" w:cs="楷体_GB2312" w:hint="eastAsia"/>
          <w:b/>
          <w:bCs/>
          <w:sz w:val="28"/>
          <w:szCs w:val="28"/>
        </w:rPr>
        <w:t xml:space="preserve">  201</w:t>
      </w:r>
      <w:r>
        <w:rPr>
          <w:rFonts w:ascii="楷体_GB2312" w:eastAsia="楷体_GB2312" w:hAnsi="楷体_GB2312" w:cs="楷体_GB2312" w:hint="eastAsia"/>
          <w:b/>
          <w:bCs/>
          <w:sz w:val="28"/>
          <w:szCs w:val="28"/>
        </w:rPr>
        <w:t>7</w:t>
      </w:r>
      <w:r>
        <w:rPr>
          <w:rFonts w:ascii="楷体_GB2312" w:eastAsia="楷体_GB2312" w:hAnsi="楷体_GB2312" w:cs="楷体_GB2312" w:hint="eastAsia"/>
          <w:b/>
          <w:bCs/>
          <w:sz w:val="28"/>
          <w:szCs w:val="28"/>
        </w:rPr>
        <w:t>届毕业生各学部年终就业率情况</w:t>
      </w:r>
    </w:p>
    <w:p w:rsidR="00000000" w:rsidRDefault="009A1129">
      <w:pPr>
        <w:spacing w:line="480" w:lineRule="auto"/>
        <w:rPr>
          <w:rFonts w:ascii="楷体_GB2312" w:eastAsia="楷体_GB2312" w:hAnsi="楷体_GB2312" w:cs="楷体_GB2312" w:hint="eastAsia"/>
          <w:b/>
          <w:bCs/>
          <w:sz w:val="28"/>
          <w:szCs w:val="28"/>
        </w:rPr>
      </w:pPr>
    </w:p>
    <w:p w:rsidR="00000000" w:rsidRDefault="009A1129">
      <w:pPr>
        <w:spacing w:line="480" w:lineRule="auto"/>
        <w:jc w:val="left"/>
        <w:rPr>
          <w:rFonts w:ascii="楷体_GB2312" w:eastAsia="楷体_GB2312" w:hAnsi="楷体_GB2312" w:cs="楷体_GB2312"/>
          <w:b/>
          <w:sz w:val="28"/>
          <w:szCs w:val="28"/>
        </w:rPr>
      </w:pPr>
      <w:r>
        <w:rPr>
          <w:rFonts w:ascii="楷体_GB2312" w:eastAsia="楷体_GB2312" w:hAnsi="楷体_GB2312" w:cs="楷体_GB2312" w:hint="eastAsia"/>
          <w:b/>
          <w:sz w:val="28"/>
          <w:szCs w:val="28"/>
        </w:rPr>
        <w:t>（二）各专业就业率</w:t>
      </w:r>
    </w:p>
    <w:p w:rsidR="00000000" w:rsidRDefault="009A1129">
      <w:pPr>
        <w:pStyle w:val="aa"/>
        <w:ind w:firstLineChars="200" w:firstLine="560"/>
        <w:rPr>
          <w:rFonts w:ascii="楷体_GB2312" w:eastAsia="楷体_GB2312" w:hAnsi="楷体_GB2312" w:cs="楷体_GB2312" w:hint="eastAsia"/>
          <w:sz w:val="28"/>
          <w:szCs w:val="28"/>
        </w:rPr>
      </w:pPr>
      <w:r>
        <w:rPr>
          <w:rFonts w:ascii="楷体_GB2312" w:eastAsia="楷体_GB2312" w:hAnsi="楷体_GB2312" w:cs="楷体_GB2312" w:hint="eastAsia"/>
          <w:sz w:val="28"/>
          <w:szCs w:val="28"/>
        </w:rPr>
        <w:t>2017</w:t>
      </w:r>
      <w:r>
        <w:rPr>
          <w:rFonts w:ascii="楷体_GB2312" w:eastAsia="楷体_GB2312" w:hAnsi="楷体_GB2312" w:cs="楷体_GB2312" w:hint="eastAsia"/>
          <w:sz w:val="28"/>
          <w:szCs w:val="28"/>
        </w:rPr>
        <w:t>届毕业生</w:t>
      </w:r>
      <w:r>
        <w:rPr>
          <w:rFonts w:ascii="楷体_GB2312" w:eastAsia="楷体_GB2312" w:hAnsi="楷体_GB2312" w:cs="楷体_GB2312" w:hint="eastAsia"/>
          <w:sz w:val="28"/>
          <w:szCs w:val="28"/>
        </w:rPr>
        <w:t>38</w:t>
      </w:r>
      <w:r>
        <w:rPr>
          <w:rFonts w:ascii="楷体_GB2312" w:eastAsia="楷体_GB2312" w:hAnsi="楷体_GB2312" w:cs="楷体_GB2312" w:hint="eastAsia"/>
          <w:sz w:val="28"/>
          <w:szCs w:val="28"/>
        </w:rPr>
        <w:t>个专业中，除会计学、集成电路设计与集成系统、医学检验技术、临床医学</w:t>
      </w:r>
      <w:r>
        <w:rPr>
          <w:rFonts w:ascii="楷体_GB2312" w:eastAsia="楷体_GB2312" w:hAnsi="楷体_GB2312" w:cs="楷体_GB2312" w:hint="eastAsia"/>
          <w:sz w:val="28"/>
          <w:szCs w:val="28"/>
        </w:rPr>
        <w:t>4</w:t>
      </w:r>
      <w:r>
        <w:rPr>
          <w:rFonts w:ascii="楷体_GB2312" w:eastAsia="楷体_GB2312" w:hAnsi="楷体_GB2312" w:cs="楷体_GB2312" w:hint="eastAsia"/>
          <w:sz w:val="28"/>
          <w:szCs w:val="28"/>
        </w:rPr>
        <w:t>个专业外，有</w:t>
      </w:r>
      <w:r>
        <w:rPr>
          <w:rFonts w:ascii="楷体_GB2312" w:eastAsia="楷体_GB2312" w:hAnsi="楷体_GB2312" w:cs="楷体_GB2312" w:hint="eastAsia"/>
          <w:sz w:val="28"/>
          <w:szCs w:val="28"/>
        </w:rPr>
        <w:t>34</w:t>
      </w:r>
      <w:r>
        <w:rPr>
          <w:rFonts w:ascii="楷体_GB2312" w:eastAsia="楷体_GB2312" w:hAnsi="楷体_GB2312" w:cs="楷体_GB2312" w:hint="eastAsia"/>
          <w:sz w:val="28"/>
          <w:szCs w:val="28"/>
        </w:rPr>
        <w:t>个专业就业率达</w:t>
      </w:r>
      <w:r>
        <w:rPr>
          <w:rFonts w:ascii="楷体_GB2312" w:eastAsia="楷体_GB2312" w:hAnsi="楷体_GB2312" w:cs="楷体_GB2312" w:hint="eastAsia"/>
          <w:sz w:val="28"/>
          <w:szCs w:val="28"/>
        </w:rPr>
        <w:t>100%</w:t>
      </w:r>
      <w:r>
        <w:rPr>
          <w:rFonts w:ascii="楷体_GB2312" w:eastAsia="楷体_GB2312" w:hAnsi="楷体_GB2312" w:cs="楷体_GB2312" w:hint="eastAsia"/>
          <w:sz w:val="28"/>
          <w:szCs w:val="28"/>
        </w:rPr>
        <w:t>，占专业总数的</w:t>
      </w:r>
      <w:r>
        <w:rPr>
          <w:rFonts w:ascii="楷体_GB2312" w:eastAsia="楷体_GB2312" w:hAnsi="楷体_GB2312" w:cs="楷体_GB2312" w:hint="eastAsia"/>
          <w:sz w:val="28"/>
          <w:szCs w:val="28"/>
        </w:rPr>
        <w:t>89.47%</w:t>
      </w:r>
      <w:r>
        <w:rPr>
          <w:rFonts w:ascii="楷体_GB2312" w:eastAsia="楷体_GB2312" w:hAnsi="楷体_GB2312" w:cs="楷体_GB2312" w:hint="eastAsia"/>
          <w:sz w:val="28"/>
          <w:szCs w:val="28"/>
        </w:rPr>
        <w:t>（见表</w:t>
      </w:r>
      <w:r>
        <w:rPr>
          <w:rFonts w:ascii="楷体_GB2312" w:eastAsia="楷体_GB2312" w:hAnsi="楷体_GB2312" w:cs="楷体_GB2312" w:hint="eastAsia"/>
          <w:sz w:val="28"/>
          <w:szCs w:val="28"/>
        </w:rPr>
        <w:t>1-4</w:t>
      </w:r>
      <w:r>
        <w:rPr>
          <w:rFonts w:ascii="楷体_GB2312" w:eastAsia="楷体_GB2312" w:hAnsi="楷体_GB2312" w:cs="楷体_GB2312" w:hint="eastAsia"/>
          <w:sz w:val="28"/>
          <w:szCs w:val="28"/>
        </w:rPr>
        <w:t>）。</w:t>
      </w:r>
    </w:p>
    <w:p w:rsidR="00000000" w:rsidRDefault="009A1129">
      <w:pPr>
        <w:pStyle w:val="aa"/>
        <w:ind w:firstLineChars="200" w:firstLine="560"/>
        <w:rPr>
          <w:rFonts w:ascii="楷体_GB2312" w:eastAsia="楷体_GB2312" w:hAnsi="楷体_GB2312" w:cs="楷体_GB2312" w:hint="eastAsia"/>
          <w:sz w:val="28"/>
          <w:szCs w:val="28"/>
        </w:rPr>
      </w:pPr>
    </w:p>
    <w:p w:rsidR="00000000" w:rsidRDefault="009A1129">
      <w:pPr>
        <w:pStyle w:val="aa"/>
        <w:ind w:firstLineChars="200" w:firstLine="560"/>
        <w:rPr>
          <w:rFonts w:ascii="楷体_GB2312" w:eastAsia="楷体_GB2312" w:hAnsi="楷体_GB2312" w:cs="楷体_GB2312" w:hint="eastAsia"/>
          <w:sz w:val="28"/>
          <w:szCs w:val="28"/>
        </w:rPr>
      </w:pPr>
    </w:p>
    <w:p w:rsidR="00000000" w:rsidRDefault="009A1129">
      <w:pPr>
        <w:spacing w:line="480" w:lineRule="auto"/>
        <w:ind w:left="420"/>
        <w:jc w:val="center"/>
        <w:rPr>
          <w:rFonts w:ascii="楷体_GB2312" w:eastAsia="楷体_GB2312" w:hAnsi="楷体_GB2312" w:cs="楷体_GB2312" w:hint="eastAsia"/>
          <w:b/>
          <w:sz w:val="28"/>
          <w:szCs w:val="28"/>
        </w:rPr>
      </w:pPr>
      <w:r>
        <w:rPr>
          <w:rFonts w:ascii="楷体_GB2312" w:eastAsia="楷体_GB2312" w:hAnsi="楷体_GB2312" w:cs="楷体_GB2312" w:hint="eastAsia"/>
          <w:b/>
          <w:sz w:val="28"/>
          <w:szCs w:val="28"/>
        </w:rPr>
        <w:lastRenderedPageBreak/>
        <w:t>表</w:t>
      </w:r>
      <w:r>
        <w:rPr>
          <w:rFonts w:ascii="楷体_GB2312" w:eastAsia="楷体_GB2312" w:hAnsi="楷体_GB2312" w:cs="楷体_GB2312" w:hint="eastAsia"/>
          <w:b/>
          <w:sz w:val="28"/>
          <w:szCs w:val="28"/>
        </w:rPr>
        <w:t>1-</w:t>
      </w:r>
      <w:r>
        <w:rPr>
          <w:rFonts w:ascii="楷体_GB2312" w:eastAsia="楷体_GB2312" w:hAnsi="楷体_GB2312" w:cs="楷体_GB2312" w:hint="eastAsia"/>
          <w:b/>
          <w:sz w:val="28"/>
          <w:szCs w:val="28"/>
        </w:rPr>
        <w:t>4</w:t>
      </w:r>
      <w:r>
        <w:rPr>
          <w:rFonts w:ascii="楷体_GB2312" w:eastAsia="楷体_GB2312" w:hAnsi="楷体_GB2312" w:cs="楷体_GB2312" w:hint="eastAsia"/>
          <w:b/>
          <w:sz w:val="28"/>
          <w:szCs w:val="28"/>
        </w:rPr>
        <w:t xml:space="preserve">  201</w:t>
      </w:r>
      <w:r>
        <w:rPr>
          <w:rFonts w:ascii="楷体_GB2312" w:eastAsia="楷体_GB2312" w:hAnsi="楷体_GB2312" w:cs="楷体_GB2312" w:hint="eastAsia"/>
          <w:b/>
          <w:sz w:val="28"/>
          <w:szCs w:val="28"/>
        </w:rPr>
        <w:t>7</w:t>
      </w:r>
      <w:r>
        <w:rPr>
          <w:rFonts w:ascii="楷体_GB2312" w:eastAsia="楷体_GB2312" w:hAnsi="楷体_GB2312" w:cs="楷体_GB2312" w:hint="eastAsia"/>
          <w:b/>
          <w:sz w:val="28"/>
          <w:szCs w:val="28"/>
        </w:rPr>
        <w:t>届各专业毕业生就业率统计表</w:t>
      </w:r>
    </w:p>
    <w:p w:rsidR="00000000" w:rsidRDefault="009A1129">
      <w:pPr>
        <w:jc w:val="right"/>
        <w:rPr>
          <w:rFonts w:ascii="楷体_GB2312" w:eastAsia="楷体_GB2312" w:hAnsi="楷体_GB2312" w:cs="楷体_GB2312" w:hint="eastAsia"/>
          <w:b/>
          <w:sz w:val="28"/>
          <w:szCs w:val="28"/>
        </w:rPr>
      </w:pPr>
      <w:r>
        <w:rPr>
          <w:b/>
          <w:sz w:val="18"/>
          <w:szCs w:val="18"/>
        </w:rPr>
        <w:t>单位</w:t>
      </w:r>
      <w:r>
        <w:rPr>
          <w:rFonts w:hint="eastAsia"/>
          <w:b/>
          <w:sz w:val="18"/>
          <w:szCs w:val="18"/>
        </w:rPr>
        <w:t>：</w:t>
      </w:r>
      <w:r>
        <w:rPr>
          <w:rFonts w:ascii="Calibri" w:hAnsi="Calibri" w:cs="宋体" w:hint="eastAsia"/>
          <w:b/>
          <w:bCs/>
          <w:color w:val="000000"/>
          <w:kern w:val="0"/>
          <w:sz w:val="18"/>
          <w:szCs w:val="18"/>
        </w:rPr>
        <w:t>%</w:t>
      </w:r>
    </w:p>
    <w:tbl>
      <w:tblPr>
        <w:tblpPr w:leftFromText="180" w:rightFromText="180" w:vertAnchor="text" w:horzAnchor="page" w:tblpX="2245" w:tblpY="732"/>
        <w:tblOverlap w:val="never"/>
        <w:tblW w:w="0" w:type="auto"/>
        <w:tblInd w:w="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tblPr>
      <w:tblGrid>
        <w:gridCol w:w="1408"/>
        <w:gridCol w:w="924"/>
        <w:gridCol w:w="3619"/>
        <w:gridCol w:w="2024"/>
      </w:tblGrid>
      <w:tr w:rsidR="00000000">
        <w:trPr>
          <w:trHeight w:val="667"/>
          <w:tblHeader/>
        </w:trPr>
        <w:tc>
          <w:tcPr>
            <w:tcW w:w="1408" w:type="dxa"/>
            <w:tcBorders>
              <w:top w:val="single" w:sz="6" w:space="0" w:color="FFFFFF"/>
              <w:left w:val="single" w:sz="6" w:space="0" w:color="FFFFFF"/>
              <w:bottom w:val="single" w:sz="6" w:space="0" w:color="FFFFFF"/>
              <w:right w:val="single" w:sz="6" w:space="0" w:color="FFFFFF"/>
            </w:tcBorders>
            <w:shd w:val="clear" w:color="4472C4" w:fill="4472C4"/>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b/>
                <w:color w:val="FFFFFF"/>
                <w:kern w:val="0"/>
                <w:sz w:val="20"/>
                <w:szCs w:val="20"/>
                <w:lang/>
              </w:rPr>
              <w:t>院系名称</w:t>
            </w:r>
          </w:p>
        </w:tc>
        <w:tc>
          <w:tcPr>
            <w:tcW w:w="924" w:type="dxa"/>
            <w:tcBorders>
              <w:top w:val="single" w:sz="6" w:space="0" w:color="FFFFFF"/>
              <w:left w:val="single" w:sz="6" w:space="0" w:color="FFFFFF"/>
              <w:bottom w:val="single" w:sz="6" w:space="0" w:color="FFFFFF"/>
              <w:right w:val="single" w:sz="6" w:space="0" w:color="FFFFFF"/>
            </w:tcBorders>
            <w:shd w:val="clear" w:color="4472C4" w:fill="4472C4"/>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b/>
                <w:color w:val="FFFFFF"/>
                <w:kern w:val="0"/>
                <w:sz w:val="20"/>
                <w:szCs w:val="20"/>
                <w:lang/>
              </w:rPr>
              <w:t>各院系就业率</w:t>
            </w:r>
          </w:p>
        </w:tc>
        <w:tc>
          <w:tcPr>
            <w:tcW w:w="3619" w:type="dxa"/>
            <w:tcBorders>
              <w:top w:val="single" w:sz="6" w:space="0" w:color="FFFFFF"/>
              <w:left w:val="single" w:sz="6" w:space="0" w:color="FFFFFF"/>
              <w:bottom w:val="single" w:sz="6" w:space="0" w:color="FFFFFF"/>
              <w:right w:val="single" w:sz="6" w:space="0" w:color="FFFFFF"/>
            </w:tcBorders>
            <w:shd w:val="clear" w:color="4472C4" w:fill="4472C4"/>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b/>
                <w:color w:val="FFFFFF"/>
                <w:kern w:val="0"/>
                <w:sz w:val="20"/>
                <w:szCs w:val="20"/>
                <w:lang/>
              </w:rPr>
              <w:t>专业名称</w:t>
            </w:r>
          </w:p>
        </w:tc>
        <w:tc>
          <w:tcPr>
            <w:tcW w:w="2024" w:type="dxa"/>
            <w:tcBorders>
              <w:top w:val="single" w:sz="6" w:space="0" w:color="FFFFFF"/>
              <w:left w:val="single" w:sz="6" w:space="0" w:color="FFFFFF"/>
              <w:bottom w:val="single" w:sz="6" w:space="0" w:color="FFFFFF"/>
              <w:right w:val="single" w:sz="6" w:space="0" w:color="FFFFFF"/>
            </w:tcBorders>
            <w:shd w:val="clear" w:color="4472C4" w:fill="4472C4"/>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b/>
                <w:color w:val="FFFFFF"/>
                <w:kern w:val="0"/>
                <w:sz w:val="20"/>
                <w:szCs w:val="20"/>
                <w:lang/>
              </w:rPr>
              <w:t>各专业就业率</w:t>
            </w:r>
          </w:p>
        </w:tc>
      </w:tr>
      <w:tr w:rsidR="00000000">
        <w:trPr>
          <w:trHeight w:val="356"/>
        </w:trPr>
        <w:tc>
          <w:tcPr>
            <w:tcW w:w="1408" w:type="dxa"/>
            <w:vMerge w:val="restart"/>
            <w:shd w:val="solid" w:color="B8CCE4" w:fill="auto"/>
            <w:vAlign w:val="center"/>
          </w:tcPr>
          <w:p w:rsidR="00000000" w:rsidRDefault="009A1129">
            <w:pPr>
              <w:widowControl/>
              <w:jc w:val="center"/>
              <w:textAlignment w:val="center"/>
              <w:rPr>
                <w:rFonts w:ascii="宋体" w:hAnsi="宋体" w:cs="宋体" w:hint="eastAsia"/>
                <w:color w:val="000000"/>
                <w:kern w:val="0"/>
                <w:sz w:val="20"/>
                <w:szCs w:val="20"/>
              </w:rPr>
            </w:pPr>
            <w:r>
              <w:rPr>
                <w:rFonts w:ascii="宋体" w:hAnsi="宋体" w:cs="宋体" w:hint="eastAsia"/>
                <w:color w:val="000000"/>
                <w:kern w:val="0"/>
                <w:sz w:val="20"/>
                <w:szCs w:val="20"/>
                <w:lang/>
              </w:rPr>
              <w:t>人文学部</w:t>
            </w:r>
          </w:p>
        </w:tc>
        <w:tc>
          <w:tcPr>
            <w:tcW w:w="924" w:type="dxa"/>
            <w:vMerge w:val="restart"/>
            <w:shd w:val="solid" w:color="B8CCE4" w:fill="auto"/>
            <w:vAlign w:val="center"/>
          </w:tcPr>
          <w:p w:rsidR="00000000" w:rsidRDefault="009A1129">
            <w:pPr>
              <w:widowControl/>
              <w:jc w:val="center"/>
              <w:textAlignment w:val="center"/>
              <w:rPr>
                <w:rFonts w:ascii="宋体" w:hAnsi="宋体" w:cs="宋体" w:hint="eastAsia"/>
                <w:color w:val="000000"/>
                <w:kern w:val="0"/>
                <w:sz w:val="20"/>
                <w:szCs w:val="20"/>
              </w:rPr>
            </w:pPr>
            <w:r>
              <w:rPr>
                <w:rFonts w:ascii="宋体" w:hAnsi="宋体" w:cs="宋体" w:hint="eastAsia"/>
                <w:color w:val="000000"/>
                <w:kern w:val="0"/>
                <w:sz w:val="20"/>
                <w:szCs w:val="20"/>
                <w:lang/>
              </w:rPr>
              <w:t>100.00</w:t>
            </w:r>
          </w:p>
        </w:tc>
        <w:tc>
          <w:tcPr>
            <w:tcW w:w="3619" w:type="dxa"/>
            <w:shd w:val="solid" w:color="B8CCE4" w:fill="auto"/>
            <w:vAlign w:val="center"/>
          </w:tcPr>
          <w:p w:rsidR="00000000" w:rsidRDefault="009A1129">
            <w:pPr>
              <w:widowControl/>
              <w:jc w:val="center"/>
              <w:textAlignment w:val="center"/>
              <w:rPr>
                <w:rFonts w:ascii="宋体" w:hAnsi="宋体" w:cs="宋体" w:hint="eastAsia"/>
                <w:color w:val="000000"/>
                <w:kern w:val="0"/>
                <w:sz w:val="20"/>
                <w:szCs w:val="20"/>
              </w:rPr>
            </w:pPr>
            <w:r>
              <w:rPr>
                <w:rFonts w:ascii="宋体" w:hAnsi="宋体" w:cs="宋体" w:hint="eastAsia"/>
                <w:color w:val="000000"/>
                <w:kern w:val="0"/>
                <w:sz w:val="20"/>
                <w:szCs w:val="20"/>
                <w:lang/>
              </w:rPr>
              <w:t>汉语言文学</w:t>
            </w:r>
          </w:p>
        </w:tc>
        <w:tc>
          <w:tcPr>
            <w:tcW w:w="2024" w:type="dxa"/>
            <w:shd w:val="solid" w:color="B8CCE4" w:fill="auto"/>
            <w:vAlign w:val="center"/>
          </w:tcPr>
          <w:p w:rsidR="00000000" w:rsidRDefault="009A1129">
            <w:pPr>
              <w:widowControl/>
              <w:jc w:val="center"/>
              <w:textAlignment w:val="center"/>
              <w:rPr>
                <w:rFonts w:ascii="宋体" w:hAnsi="宋体" w:cs="宋体" w:hint="eastAsia"/>
                <w:color w:val="000000"/>
                <w:kern w:val="0"/>
                <w:sz w:val="20"/>
                <w:szCs w:val="20"/>
              </w:rPr>
            </w:pPr>
            <w:r>
              <w:rPr>
                <w:rFonts w:ascii="宋体" w:hAnsi="宋体" w:cs="宋体" w:hint="eastAsia"/>
                <w:color w:val="000000"/>
                <w:kern w:val="0"/>
                <w:sz w:val="20"/>
                <w:szCs w:val="20"/>
                <w:lang/>
              </w:rPr>
              <w:t>100.00</w:t>
            </w:r>
          </w:p>
        </w:tc>
      </w:tr>
      <w:tr w:rsidR="00000000">
        <w:trPr>
          <w:trHeight w:val="470"/>
        </w:trPr>
        <w:tc>
          <w:tcPr>
            <w:tcW w:w="1408" w:type="dxa"/>
            <w:vMerge/>
            <w:shd w:val="solid" w:color="B8CCE4" w:fill="auto"/>
            <w:vAlign w:val="center"/>
          </w:tcPr>
          <w:p w:rsidR="00000000" w:rsidRDefault="009A1129">
            <w:pPr>
              <w:jc w:val="center"/>
              <w:rPr>
                <w:rFonts w:ascii="宋体" w:hAnsi="宋体" w:cs="宋体" w:hint="eastAsia"/>
                <w:color w:val="000000"/>
                <w:kern w:val="0"/>
                <w:sz w:val="20"/>
                <w:szCs w:val="20"/>
              </w:rPr>
            </w:pPr>
          </w:p>
        </w:tc>
        <w:tc>
          <w:tcPr>
            <w:tcW w:w="924" w:type="dxa"/>
            <w:vMerge/>
            <w:shd w:val="solid" w:color="B8CCE4" w:fill="auto"/>
            <w:vAlign w:val="center"/>
          </w:tcPr>
          <w:p w:rsidR="00000000" w:rsidRDefault="009A1129">
            <w:pPr>
              <w:jc w:val="center"/>
              <w:rPr>
                <w:rFonts w:ascii="宋体" w:hAnsi="宋体" w:cs="宋体" w:hint="eastAsia"/>
                <w:color w:val="000000"/>
                <w:kern w:val="0"/>
                <w:sz w:val="20"/>
                <w:szCs w:val="20"/>
              </w:rPr>
            </w:pPr>
          </w:p>
        </w:tc>
        <w:tc>
          <w:tcPr>
            <w:tcW w:w="3619"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color w:val="000000"/>
                <w:kern w:val="0"/>
                <w:sz w:val="20"/>
                <w:szCs w:val="20"/>
              </w:rPr>
            </w:pPr>
            <w:r>
              <w:rPr>
                <w:rFonts w:ascii="宋体" w:hAnsi="宋体" w:cs="宋体" w:hint="eastAsia"/>
                <w:color w:val="000000"/>
                <w:kern w:val="0"/>
                <w:sz w:val="20"/>
                <w:szCs w:val="20"/>
                <w:lang/>
              </w:rPr>
              <w:t>汉语言文学（新闻传媒与文化创意）</w:t>
            </w:r>
          </w:p>
        </w:tc>
        <w:tc>
          <w:tcPr>
            <w:tcW w:w="2024"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color w:val="000000"/>
                <w:kern w:val="0"/>
                <w:sz w:val="20"/>
                <w:szCs w:val="20"/>
              </w:rPr>
            </w:pPr>
            <w:r>
              <w:rPr>
                <w:rFonts w:ascii="宋体" w:hAnsi="宋体" w:cs="宋体" w:hint="eastAsia"/>
                <w:color w:val="000000"/>
                <w:kern w:val="0"/>
                <w:sz w:val="20"/>
                <w:szCs w:val="20"/>
                <w:lang/>
              </w:rPr>
              <w:t>100.00</w:t>
            </w:r>
          </w:p>
        </w:tc>
      </w:tr>
      <w:tr w:rsidR="00000000">
        <w:trPr>
          <w:trHeight w:val="356"/>
        </w:trPr>
        <w:tc>
          <w:tcPr>
            <w:tcW w:w="1408" w:type="dxa"/>
            <w:vMerge/>
            <w:shd w:val="solid" w:color="B8CCE4" w:fill="auto"/>
            <w:vAlign w:val="center"/>
          </w:tcPr>
          <w:p w:rsidR="00000000" w:rsidRDefault="009A1129">
            <w:pPr>
              <w:jc w:val="center"/>
              <w:rPr>
                <w:rFonts w:ascii="宋体" w:hAnsi="宋体" w:cs="宋体" w:hint="eastAsia"/>
                <w:color w:val="000000"/>
                <w:kern w:val="0"/>
                <w:sz w:val="20"/>
                <w:szCs w:val="20"/>
              </w:rPr>
            </w:pPr>
          </w:p>
        </w:tc>
        <w:tc>
          <w:tcPr>
            <w:tcW w:w="924" w:type="dxa"/>
            <w:vMerge/>
            <w:shd w:val="solid" w:color="B8CCE4" w:fill="auto"/>
            <w:vAlign w:val="center"/>
          </w:tcPr>
          <w:p w:rsidR="00000000" w:rsidRDefault="009A1129">
            <w:pPr>
              <w:jc w:val="center"/>
              <w:rPr>
                <w:rFonts w:ascii="宋体" w:hAnsi="宋体" w:cs="宋体" w:hint="eastAsia"/>
                <w:color w:val="000000"/>
                <w:kern w:val="0"/>
                <w:sz w:val="20"/>
                <w:szCs w:val="20"/>
              </w:rPr>
            </w:pPr>
          </w:p>
        </w:tc>
        <w:tc>
          <w:tcPr>
            <w:tcW w:w="3619" w:type="dxa"/>
            <w:shd w:val="solid" w:color="B8CCE4" w:fill="auto"/>
            <w:vAlign w:val="center"/>
          </w:tcPr>
          <w:p w:rsidR="00000000" w:rsidRDefault="009A1129">
            <w:pPr>
              <w:widowControl/>
              <w:jc w:val="center"/>
              <w:textAlignment w:val="center"/>
              <w:rPr>
                <w:rFonts w:ascii="宋体" w:hAnsi="宋体" w:cs="宋体" w:hint="eastAsia"/>
                <w:color w:val="000000"/>
                <w:kern w:val="0"/>
                <w:sz w:val="20"/>
                <w:szCs w:val="20"/>
              </w:rPr>
            </w:pPr>
            <w:r>
              <w:rPr>
                <w:rFonts w:ascii="宋体" w:hAnsi="宋体" w:cs="宋体" w:hint="eastAsia"/>
                <w:color w:val="000000"/>
                <w:kern w:val="0"/>
                <w:sz w:val="20"/>
                <w:szCs w:val="20"/>
                <w:lang/>
              </w:rPr>
              <w:t>英语</w:t>
            </w:r>
          </w:p>
        </w:tc>
        <w:tc>
          <w:tcPr>
            <w:tcW w:w="2024" w:type="dxa"/>
            <w:shd w:val="solid" w:color="B8CCE4" w:fill="auto"/>
            <w:vAlign w:val="center"/>
          </w:tcPr>
          <w:p w:rsidR="00000000" w:rsidRDefault="009A1129">
            <w:pPr>
              <w:widowControl/>
              <w:jc w:val="center"/>
              <w:textAlignment w:val="center"/>
              <w:rPr>
                <w:rFonts w:ascii="宋体" w:hAnsi="宋体" w:cs="宋体" w:hint="eastAsia"/>
                <w:color w:val="000000"/>
                <w:kern w:val="0"/>
                <w:sz w:val="20"/>
                <w:szCs w:val="20"/>
              </w:rPr>
            </w:pPr>
            <w:r>
              <w:rPr>
                <w:rFonts w:ascii="宋体" w:hAnsi="宋体" w:cs="宋体" w:hint="eastAsia"/>
                <w:color w:val="000000"/>
                <w:kern w:val="0"/>
                <w:sz w:val="20"/>
                <w:szCs w:val="20"/>
                <w:lang/>
              </w:rPr>
              <w:t>100.00</w:t>
            </w:r>
          </w:p>
        </w:tc>
      </w:tr>
      <w:tr w:rsidR="00000000">
        <w:trPr>
          <w:trHeight w:val="356"/>
        </w:trPr>
        <w:tc>
          <w:tcPr>
            <w:tcW w:w="1408" w:type="dxa"/>
            <w:vMerge/>
            <w:shd w:val="solid" w:color="B8CCE4" w:fill="auto"/>
            <w:vAlign w:val="center"/>
          </w:tcPr>
          <w:p w:rsidR="00000000" w:rsidRDefault="009A1129">
            <w:pPr>
              <w:jc w:val="center"/>
              <w:rPr>
                <w:rFonts w:ascii="宋体" w:hAnsi="宋体" w:cs="宋体" w:hint="eastAsia"/>
                <w:color w:val="000000"/>
                <w:kern w:val="0"/>
                <w:sz w:val="20"/>
                <w:szCs w:val="20"/>
              </w:rPr>
            </w:pPr>
          </w:p>
        </w:tc>
        <w:tc>
          <w:tcPr>
            <w:tcW w:w="924" w:type="dxa"/>
            <w:vMerge/>
            <w:shd w:val="solid" w:color="B8CCE4" w:fill="auto"/>
            <w:vAlign w:val="center"/>
          </w:tcPr>
          <w:p w:rsidR="00000000" w:rsidRDefault="009A1129">
            <w:pPr>
              <w:jc w:val="center"/>
              <w:rPr>
                <w:rFonts w:ascii="宋体" w:hAnsi="宋体" w:cs="宋体" w:hint="eastAsia"/>
                <w:color w:val="000000"/>
                <w:kern w:val="0"/>
                <w:sz w:val="20"/>
                <w:szCs w:val="20"/>
              </w:rPr>
            </w:pPr>
          </w:p>
        </w:tc>
        <w:tc>
          <w:tcPr>
            <w:tcW w:w="3619" w:type="dxa"/>
            <w:shd w:val="solid" w:color="B8CCE4" w:fill="auto"/>
            <w:vAlign w:val="center"/>
          </w:tcPr>
          <w:p w:rsidR="00000000" w:rsidRDefault="009A1129">
            <w:pPr>
              <w:widowControl/>
              <w:jc w:val="center"/>
              <w:textAlignment w:val="center"/>
              <w:rPr>
                <w:rFonts w:ascii="宋体" w:hAnsi="宋体" w:cs="宋体" w:hint="eastAsia"/>
                <w:color w:val="000000"/>
                <w:kern w:val="0"/>
                <w:sz w:val="20"/>
                <w:szCs w:val="20"/>
              </w:rPr>
            </w:pPr>
            <w:r>
              <w:rPr>
                <w:rFonts w:ascii="宋体" w:hAnsi="宋体" w:cs="宋体" w:hint="eastAsia"/>
                <w:color w:val="000000"/>
                <w:kern w:val="0"/>
                <w:sz w:val="20"/>
                <w:szCs w:val="20"/>
                <w:lang/>
              </w:rPr>
              <w:t>日语</w:t>
            </w:r>
          </w:p>
        </w:tc>
        <w:tc>
          <w:tcPr>
            <w:tcW w:w="2024" w:type="dxa"/>
            <w:shd w:val="solid" w:color="B8CCE4" w:fill="auto"/>
            <w:vAlign w:val="center"/>
          </w:tcPr>
          <w:p w:rsidR="00000000" w:rsidRDefault="009A1129">
            <w:pPr>
              <w:widowControl/>
              <w:jc w:val="center"/>
              <w:textAlignment w:val="center"/>
              <w:rPr>
                <w:rFonts w:ascii="宋体" w:hAnsi="宋体" w:cs="宋体" w:hint="eastAsia"/>
                <w:color w:val="000000"/>
                <w:kern w:val="0"/>
                <w:sz w:val="20"/>
                <w:szCs w:val="20"/>
              </w:rPr>
            </w:pPr>
            <w:r>
              <w:rPr>
                <w:rFonts w:ascii="宋体" w:hAnsi="宋体" w:cs="宋体" w:hint="eastAsia"/>
                <w:color w:val="000000"/>
                <w:kern w:val="0"/>
                <w:sz w:val="20"/>
                <w:szCs w:val="20"/>
                <w:lang/>
              </w:rPr>
              <w:t>1</w:t>
            </w:r>
            <w:r>
              <w:rPr>
                <w:rFonts w:ascii="宋体" w:hAnsi="宋体" w:cs="宋体" w:hint="eastAsia"/>
                <w:color w:val="000000"/>
                <w:kern w:val="0"/>
                <w:sz w:val="20"/>
                <w:szCs w:val="20"/>
                <w:lang/>
              </w:rPr>
              <w:t>00.00</w:t>
            </w:r>
          </w:p>
        </w:tc>
      </w:tr>
      <w:tr w:rsidR="00000000">
        <w:trPr>
          <w:trHeight w:val="356"/>
        </w:trPr>
        <w:tc>
          <w:tcPr>
            <w:tcW w:w="1408" w:type="dxa"/>
            <w:vMerge/>
            <w:shd w:val="solid" w:color="B8CCE4" w:fill="auto"/>
            <w:vAlign w:val="center"/>
          </w:tcPr>
          <w:p w:rsidR="00000000" w:rsidRDefault="009A1129">
            <w:pPr>
              <w:jc w:val="center"/>
              <w:rPr>
                <w:rFonts w:ascii="宋体" w:hAnsi="宋体" w:cs="宋体" w:hint="eastAsia"/>
                <w:color w:val="000000"/>
                <w:kern w:val="0"/>
                <w:sz w:val="20"/>
                <w:szCs w:val="20"/>
              </w:rPr>
            </w:pPr>
          </w:p>
        </w:tc>
        <w:tc>
          <w:tcPr>
            <w:tcW w:w="924" w:type="dxa"/>
            <w:vMerge/>
            <w:shd w:val="solid" w:color="B8CCE4" w:fill="auto"/>
            <w:vAlign w:val="center"/>
          </w:tcPr>
          <w:p w:rsidR="00000000" w:rsidRDefault="009A1129">
            <w:pPr>
              <w:jc w:val="center"/>
              <w:rPr>
                <w:rFonts w:ascii="宋体" w:hAnsi="宋体" w:cs="宋体" w:hint="eastAsia"/>
                <w:color w:val="000000"/>
                <w:kern w:val="0"/>
                <w:sz w:val="20"/>
                <w:szCs w:val="20"/>
              </w:rPr>
            </w:pPr>
          </w:p>
        </w:tc>
        <w:tc>
          <w:tcPr>
            <w:tcW w:w="3619"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color w:val="000000"/>
                <w:kern w:val="0"/>
                <w:sz w:val="20"/>
                <w:szCs w:val="20"/>
              </w:rPr>
            </w:pPr>
            <w:r>
              <w:rPr>
                <w:rFonts w:ascii="宋体" w:hAnsi="宋体" w:cs="宋体" w:hint="eastAsia"/>
                <w:color w:val="000000"/>
                <w:kern w:val="0"/>
                <w:sz w:val="20"/>
                <w:szCs w:val="20"/>
                <w:lang/>
              </w:rPr>
              <w:t>环境设计</w:t>
            </w:r>
          </w:p>
        </w:tc>
        <w:tc>
          <w:tcPr>
            <w:tcW w:w="2024"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color w:val="000000"/>
                <w:kern w:val="0"/>
                <w:sz w:val="20"/>
                <w:szCs w:val="20"/>
              </w:rPr>
            </w:pPr>
            <w:r>
              <w:rPr>
                <w:rFonts w:ascii="宋体" w:hAnsi="宋体" w:cs="宋体" w:hint="eastAsia"/>
                <w:color w:val="000000"/>
                <w:kern w:val="0"/>
                <w:sz w:val="20"/>
                <w:szCs w:val="20"/>
                <w:lang/>
              </w:rPr>
              <w:t>100.00</w:t>
            </w:r>
          </w:p>
        </w:tc>
      </w:tr>
      <w:tr w:rsidR="00000000">
        <w:trPr>
          <w:trHeight w:val="356"/>
        </w:trPr>
        <w:tc>
          <w:tcPr>
            <w:tcW w:w="1408" w:type="dxa"/>
            <w:vMerge/>
            <w:shd w:val="solid" w:color="B8CCE4" w:fill="auto"/>
            <w:vAlign w:val="center"/>
          </w:tcPr>
          <w:p w:rsidR="00000000" w:rsidRDefault="009A1129">
            <w:pPr>
              <w:jc w:val="center"/>
              <w:rPr>
                <w:rFonts w:ascii="宋体" w:hAnsi="宋体" w:cs="宋体" w:hint="eastAsia"/>
                <w:color w:val="000000"/>
                <w:kern w:val="0"/>
                <w:sz w:val="20"/>
                <w:szCs w:val="20"/>
              </w:rPr>
            </w:pPr>
          </w:p>
        </w:tc>
        <w:tc>
          <w:tcPr>
            <w:tcW w:w="924" w:type="dxa"/>
            <w:vMerge/>
            <w:shd w:val="solid" w:color="B8CCE4" w:fill="auto"/>
            <w:vAlign w:val="center"/>
          </w:tcPr>
          <w:p w:rsidR="00000000" w:rsidRDefault="009A1129">
            <w:pPr>
              <w:jc w:val="center"/>
              <w:rPr>
                <w:rFonts w:ascii="宋体" w:hAnsi="宋体" w:cs="宋体" w:hint="eastAsia"/>
                <w:color w:val="000000"/>
                <w:kern w:val="0"/>
                <w:sz w:val="20"/>
                <w:szCs w:val="20"/>
              </w:rPr>
            </w:pPr>
          </w:p>
        </w:tc>
        <w:tc>
          <w:tcPr>
            <w:tcW w:w="3619" w:type="dxa"/>
            <w:shd w:val="solid" w:color="B8CCE4" w:fill="auto"/>
            <w:vAlign w:val="center"/>
          </w:tcPr>
          <w:p w:rsidR="00000000" w:rsidRDefault="009A1129">
            <w:pPr>
              <w:widowControl/>
              <w:jc w:val="center"/>
              <w:textAlignment w:val="center"/>
              <w:rPr>
                <w:rFonts w:ascii="宋体" w:hAnsi="宋体" w:cs="宋体" w:hint="eastAsia"/>
                <w:color w:val="000000"/>
                <w:kern w:val="0"/>
                <w:sz w:val="20"/>
                <w:szCs w:val="20"/>
              </w:rPr>
            </w:pPr>
            <w:r>
              <w:rPr>
                <w:rFonts w:ascii="宋体" w:hAnsi="宋体" w:cs="宋体" w:hint="eastAsia"/>
                <w:color w:val="000000"/>
                <w:kern w:val="0"/>
                <w:sz w:val="20"/>
                <w:szCs w:val="20"/>
                <w:lang/>
              </w:rPr>
              <w:t>动画</w:t>
            </w:r>
          </w:p>
        </w:tc>
        <w:tc>
          <w:tcPr>
            <w:tcW w:w="2024" w:type="dxa"/>
            <w:shd w:val="solid" w:color="B8CCE4" w:fill="auto"/>
            <w:vAlign w:val="center"/>
          </w:tcPr>
          <w:p w:rsidR="00000000" w:rsidRDefault="009A1129">
            <w:pPr>
              <w:widowControl/>
              <w:jc w:val="center"/>
              <w:textAlignment w:val="center"/>
              <w:rPr>
                <w:rFonts w:ascii="宋体" w:hAnsi="宋体" w:cs="宋体" w:hint="eastAsia"/>
                <w:color w:val="000000"/>
                <w:kern w:val="0"/>
                <w:sz w:val="20"/>
                <w:szCs w:val="20"/>
              </w:rPr>
            </w:pPr>
            <w:r>
              <w:rPr>
                <w:rFonts w:ascii="宋体" w:hAnsi="宋体" w:cs="宋体" w:hint="eastAsia"/>
                <w:color w:val="000000"/>
                <w:kern w:val="0"/>
                <w:sz w:val="20"/>
                <w:szCs w:val="20"/>
                <w:lang/>
              </w:rPr>
              <w:t>100.00</w:t>
            </w:r>
          </w:p>
        </w:tc>
      </w:tr>
      <w:tr w:rsidR="00000000">
        <w:trPr>
          <w:trHeight w:val="356"/>
        </w:trPr>
        <w:tc>
          <w:tcPr>
            <w:tcW w:w="1408" w:type="dxa"/>
            <w:vMerge/>
            <w:tcBorders>
              <w:bottom w:val="single" w:sz="6" w:space="0" w:color="FFFFFF"/>
            </w:tcBorders>
            <w:shd w:val="solid" w:color="B8CCE4" w:fill="auto"/>
            <w:vAlign w:val="center"/>
          </w:tcPr>
          <w:p w:rsidR="00000000" w:rsidRDefault="009A1129">
            <w:pPr>
              <w:jc w:val="center"/>
              <w:rPr>
                <w:rFonts w:ascii="宋体" w:hAnsi="宋体" w:cs="宋体" w:hint="eastAsia"/>
                <w:color w:val="000000"/>
                <w:kern w:val="0"/>
                <w:sz w:val="20"/>
                <w:szCs w:val="20"/>
              </w:rPr>
            </w:pPr>
          </w:p>
        </w:tc>
        <w:tc>
          <w:tcPr>
            <w:tcW w:w="924" w:type="dxa"/>
            <w:vMerge/>
            <w:tcBorders>
              <w:bottom w:val="single" w:sz="6" w:space="0" w:color="FFFFFF"/>
            </w:tcBorders>
            <w:shd w:val="solid" w:color="B8CCE4" w:fill="auto"/>
            <w:vAlign w:val="center"/>
          </w:tcPr>
          <w:p w:rsidR="00000000" w:rsidRDefault="009A1129">
            <w:pPr>
              <w:jc w:val="center"/>
              <w:rPr>
                <w:rFonts w:ascii="宋体" w:hAnsi="宋体" w:cs="宋体" w:hint="eastAsia"/>
                <w:color w:val="000000"/>
                <w:kern w:val="0"/>
                <w:sz w:val="20"/>
                <w:szCs w:val="20"/>
              </w:rPr>
            </w:pPr>
          </w:p>
        </w:tc>
        <w:tc>
          <w:tcPr>
            <w:tcW w:w="3619"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color w:val="000000"/>
                <w:kern w:val="0"/>
                <w:sz w:val="20"/>
                <w:szCs w:val="20"/>
              </w:rPr>
            </w:pPr>
            <w:r>
              <w:rPr>
                <w:rFonts w:ascii="宋体" w:hAnsi="宋体" w:cs="宋体" w:hint="eastAsia"/>
                <w:color w:val="000000"/>
                <w:kern w:val="0"/>
                <w:sz w:val="20"/>
                <w:szCs w:val="20"/>
                <w:lang/>
              </w:rPr>
              <w:t>视觉传达设计</w:t>
            </w:r>
          </w:p>
        </w:tc>
        <w:tc>
          <w:tcPr>
            <w:tcW w:w="2024"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color w:val="000000"/>
                <w:kern w:val="0"/>
                <w:sz w:val="20"/>
                <w:szCs w:val="20"/>
              </w:rPr>
            </w:pPr>
            <w:r>
              <w:rPr>
                <w:rFonts w:ascii="宋体" w:hAnsi="宋体" w:cs="宋体" w:hint="eastAsia"/>
                <w:color w:val="000000"/>
                <w:kern w:val="0"/>
                <w:sz w:val="20"/>
                <w:szCs w:val="20"/>
                <w:lang/>
              </w:rPr>
              <w:t>100.00</w:t>
            </w:r>
          </w:p>
        </w:tc>
      </w:tr>
      <w:tr w:rsidR="00000000">
        <w:trPr>
          <w:trHeight w:val="356"/>
        </w:trPr>
        <w:tc>
          <w:tcPr>
            <w:tcW w:w="1408" w:type="dxa"/>
            <w:vMerge w:val="restart"/>
            <w:shd w:val="solid" w:color="B8CCE4" w:fill="auto"/>
            <w:vAlign w:val="center"/>
          </w:tcPr>
          <w:p w:rsidR="00000000" w:rsidRDefault="009A1129">
            <w:pPr>
              <w:widowControl/>
              <w:jc w:val="center"/>
              <w:textAlignment w:val="center"/>
              <w:rPr>
                <w:rFonts w:ascii="宋体" w:hAnsi="宋体" w:cs="宋体" w:hint="eastAsia"/>
                <w:color w:val="000000"/>
                <w:kern w:val="0"/>
                <w:sz w:val="20"/>
                <w:szCs w:val="20"/>
                <w:lang/>
              </w:rPr>
            </w:pPr>
            <w:r>
              <w:rPr>
                <w:rFonts w:ascii="宋体" w:hAnsi="宋体" w:cs="宋体" w:hint="eastAsia"/>
                <w:color w:val="000000"/>
                <w:kern w:val="0"/>
                <w:sz w:val="20"/>
                <w:szCs w:val="20"/>
                <w:lang/>
              </w:rPr>
              <w:t>理学部</w:t>
            </w:r>
          </w:p>
        </w:tc>
        <w:tc>
          <w:tcPr>
            <w:tcW w:w="924" w:type="dxa"/>
            <w:vMerge w:val="restart"/>
            <w:shd w:val="solid" w:color="B8CCE4" w:fill="auto"/>
            <w:vAlign w:val="center"/>
          </w:tcPr>
          <w:p w:rsidR="00000000" w:rsidRDefault="009A1129">
            <w:pPr>
              <w:widowControl/>
              <w:jc w:val="center"/>
              <w:textAlignment w:val="center"/>
              <w:rPr>
                <w:rFonts w:ascii="宋体" w:hAnsi="宋体" w:cs="宋体" w:hint="eastAsia"/>
                <w:color w:val="000000"/>
                <w:kern w:val="0"/>
                <w:sz w:val="20"/>
                <w:szCs w:val="20"/>
                <w:lang/>
              </w:rPr>
            </w:pPr>
            <w:r>
              <w:rPr>
                <w:rFonts w:ascii="宋体" w:hAnsi="宋体" w:cs="宋体" w:hint="eastAsia"/>
                <w:color w:val="000000"/>
                <w:kern w:val="0"/>
                <w:sz w:val="20"/>
                <w:szCs w:val="20"/>
                <w:lang/>
              </w:rPr>
              <w:t>100.00</w:t>
            </w:r>
          </w:p>
        </w:tc>
        <w:tc>
          <w:tcPr>
            <w:tcW w:w="3619" w:type="dxa"/>
            <w:shd w:val="solid" w:color="B8CCE4" w:fill="auto"/>
            <w:vAlign w:val="center"/>
          </w:tcPr>
          <w:p w:rsidR="00000000" w:rsidRDefault="009A1129">
            <w:pPr>
              <w:widowControl/>
              <w:jc w:val="center"/>
              <w:textAlignment w:val="center"/>
              <w:rPr>
                <w:rFonts w:ascii="宋体" w:hAnsi="宋体" w:cs="宋体" w:hint="eastAsia"/>
                <w:color w:val="000000"/>
                <w:kern w:val="0"/>
                <w:sz w:val="20"/>
                <w:szCs w:val="20"/>
              </w:rPr>
            </w:pPr>
            <w:r>
              <w:rPr>
                <w:rFonts w:ascii="宋体" w:hAnsi="宋体" w:cs="宋体" w:hint="eastAsia"/>
                <w:color w:val="000000"/>
                <w:kern w:val="0"/>
                <w:sz w:val="20"/>
                <w:szCs w:val="20"/>
                <w:lang/>
              </w:rPr>
              <w:t>人文地理与城乡规划</w:t>
            </w:r>
          </w:p>
        </w:tc>
        <w:tc>
          <w:tcPr>
            <w:tcW w:w="2024" w:type="dxa"/>
            <w:shd w:val="solid" w:color="B8CCE4" w:fill="auto"/>
            <w:vAlign w:val="center"/>
          </w:tcPr>
          <w:p w:rsidR="00000000" w:rsidRDefault="009A1129">
            <w:pPr>
              <w:widowControl/>
              <w:jc w:val="center"/>
              <w:textAlignment w:val="center"/>
              <w:rPr>
                <w:rFonts w:ascii="宋体" w:hAnsi="宋体" w:cs="宋体" w:hint="eastAsia"/>
                <w:color w:val="000000"/>
                <w:kern w:val="0"/>
                <w:sz w:val="20"/>
                <w:szCs w:val="20"/>
              </w:rPr>
            </w:pPr>
            <w:r>
              <w:rPr>
                <w:rFonts w:ascii="宋体" w:hAnsi="宋体" w:cs="宋体" w:hint="eastAsia"/>
                <w:color w:val="000000"/>
                <w:kern w:val="0"/>
                <w:sz w:val="20"/>
                <w:szCs w:val="20"/>
                <w:lang/>
              </w:rPr>
              <w:t>100.00</w:t>
            </w:r>
          </w:p>
        </w:tc>
      </w:tr>
      <w:tr w:rsidR="00000000">
        <w:trPr>
          <w:trHeight w:val="356"/>
        </w:trPr>
        <w:tc>
          <w:tcPr>
            <w:tcW w:w="1408" w:type="dxa"/>
            <w:vMerge/>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924" w:type="dxa"/>
            <w:vMerge/>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3619"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海洋技术</w:t>
            </w:r>
          </w:p>
        </w:tc>
        <w:tc>
          <w:tcPr>
            <w:tcW w:w="2024"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100.00</w:t>
            </w:r>
          </w:p>
        </w:tc>
      </w:tr>
      <w:tr w:rsidR="00000000">
        <w:trPr>
          <w:trHeight w:val="356"/>
        </w:trPr>
        <w:tc>
          <w:tcPr>
            <w:tcW w:w="1408" w:type="dxa"/>
            <w:vMerge/>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924" w:type="dxa"/>
            <w:vMerge/>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3619"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自然地理与资源环境</w:t>
            </w:r>
          </w:p>
        </w:tc>
        <w:tc>
          <w:tcPr>
            <w:tcW w:w="2024"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color w:val="000000"/>
                <w:kern w:val="0"/>
                <w:sz w:val="20"/>
                <w:szCs w:val="20"/>
                <w:lang/>
              </w:rPr>
            </w:pPr>
            <w:r>
              <w:rPr>
                <w:rFonts w:ascii="宋体" w:hAnsi="宋体" w:cs="宋体" w:hint="eastAsia"/>
                <w:color w:val="000000"/>
                <w:kern w:val="0"/>
                <w:sz w:val="20"/>
                <w:szCs w:val="20"/>
                <w:lang/>
              </w:rPr>
              <w:t>100.00</w:t>
            </w:r>
          </w:p>
        </w:tc>
      </w:tr>
      <w:tr w:rsidR="00000000">
        <w:trPr>
          <w:trHeight w:val="356"/>
        </w:trPr>
        <w:tc>
          <w:tcPr>
            <w:tcW w:w="1408" w:type="dxa"/>
            <w:vMerge/>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924" w:type="dxa"/>
            <w:vMerge/>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3619"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应用心理学</w:t>
            </w:r>
          </w:p>
        </w:tc>
        <w:tc>
          <w:tcPr>
            <w:tcW w:w="2024"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100.00</w:t>
            </w:r>
          </w:p>
        </w:tc>
      </w:tr>
      <w:tr w:rsidR="00000000">
        <w:trPr>
          <w:trHeight w:val="356"/>
        </w:trPr>
        <w:tc>
          <w:tcPr>
            <w:tcW w:w="1408" w:type="dxa"/>
            <w:vMerge/>
            <w:tcBorders>
              <w:bottom w:val="single" w:sz="6" w:space="0" w:color="FFFFFF"/>
            </w:tcBorders>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924" w:type="dxa"/>
            <w:vMerge/>
            <w:tcBorders>
              <w:bottom w:val="single" w:sz="6" w:space="0" w:color="FFFFFF"/>
            </w:tcBorders>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3619"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color w:val="000000"/>
                <w:kern w:val="0"/>
                <w:sz w:val="20"/>
                <w:szCs w:val="20"/>
                <w:lang/>
              </w:rPr>
            </w:pPr>
            <w:r>
              <w:rPr>
                <w:rFonts w:ascii="宋体" w:hAnsi="宋体" w:cs="宋体" w:hint="eastAsia"/>
                <w:color w:val="000000"/>
                <w:kern w:val="0"/>
                <w:sz w:val="20"/>
                <w:szCs w:val="20"/>
                <w:lang/>
              </w:rPr>
              <w:t>应用统计学</w:t>
            </w:r>
          </w:p>
        </w:tc>
        <w:tc>
          <w:tcPr>
            <w:tcW w:w="2024"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color w:val="000000"/>
                <w:kern w:val="0"/>
                <w:sz w:val="20"/>
                <w:szCs w:val="20"/>
                <w:lang/>
              </w:rPr>
            </w:pPr>
            <w:r>
              <w:rPr>
                <w:rFonts w:ascii="宋体" w:hAnsi="宋体" w:cs="宋体" w:hint="eastAsia"/>
                <w:color w:val="000000"/>
                <w:kern w:val="0"/>
                <w:sz w:val="20"/>
                <w:szCs w:val="20"/>
                <w:lang/>
              </w:rPr>
              <w:t>100.00</w:t>
            </w:r>
          </w:p>
        </w:tc>
      </w:tr>
      <w:tr w:rsidR="00000000">
        <w:trPr>
          <w:trHeight w:val="356"/>
        </w:trPr>
        <w:tc>
          <w:tcPr>
            <w:tcW w:w="1408" w:type="dxa"/>
            <w:vMerge w:val="restart"/>
            <w:tcBorders>
              <w:top w:val="single" w:sz="6" w:space="0" w:color="FFFFFF"/>
              <w:left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color w:val="000000"/>
                <w:kern w:val="0"/>
                <w:sz w:val="20"/>
                <w:szCs w:val="20"/>
                <w:lang/>
              </w:rPr>
            </w:pPr>
          </w:p>
          <w:p w:rsidR="00000000" w:rsidRDefault="009A1129">
            <w:pPr>
              <w:widowControl/>
              <w:jc w:val="center"/>
              <w:textAlignment w:val="center"/>
              <w:rPr>
                <w:rFonts w:ascii="宋体" w:hAnsi="宋体" w:cs="宋体" w:hint="eastAsia"/>
                <w:color w:val="000000"/>
                <w:kern w:val="0"/>
                <w:sz w:val="20"/>
                <w:szCs w:val="20"/>
                <w:lang/>
              </w:rPr>
            </w:pPr>
          </w:p>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经济与管理学部</w:t>
            </w:r>
          </w:p>
        </w:tc>
        <w:tc>
          <w:tcPr>
            <w:tcW w:w="924" w:type="dxa"/>
            <w:vMerge w:val="restart"/>
            <w:tcBorders>
              <w:top w:val="single" w:sz="6" w:space="0" w:color="FFFFFF"/>
              <w:left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99.17</w:t>
            </w:r>
          </w:p>
        </w:tc>
        <w:tc>
          <w:tcPr>
            <w:tcW w:w="3619"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国际经济与贸易</w:t>
            </w:r>
          </w:p>
        </w:tc>
        <w:tc>
          <w:tcPr>
            <w:tcW w:w="2024"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100.00</w:t>
            </w:r>
          </w:p>
        </w:tc>
      </w:tr>
      <w:tr w:rsidR="00000000">
        <w:trPr>
          <w:trHeight w:val="356"/>
        </w:trPr>
        <w:tc>
          <w:tcPr>
            <w:tcW w:w="1408" w:type="dxa"/>
            <w:vMerge/>
            <w:tcBorders>
              <w:left w:val="single" w:sz="6" w:space="0" w:color="FFFFFF"/>
              <w:right w:val="single" w:sz="6" w:space="0" w:color="FFFFFF"/>
            </w:tcBorders>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924" w:type="dxa"/>
            <w:vMerge/>
            <w:tcBorders>
              <w:left w:val="single" w:sz="6" w:space="0" w:color="FFFFFF"/>
              <w:right w:val="single" w:sz="6" w:space="0" w:color="FFFFFF"/>
            </w:tcBorders>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3619"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市场营销</w:t>
            </w:r>
          </w:p>
        </w:tc>
        <w:tc>
          <w:tcPr>
            <w:tcW w:w="2024"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100.00</w:t>
            </w:r>
          </w:p>
        </w:tc>
      </w:tr>
      <w:tr w:rsidR="00000000">
        <w:trPr>
          <w:trHeight w:val="356"/>
        </w:trPr>
        <w:tc>
          <w:tcPr>
            <w:tcW w:w="1408" w:type="dxa"/>
            <w:vMerge/>
            <w:tcBorders>
              <w:left w:val="single" w:sz="6" w:space="0" w:color="FFFFFF"/>
              <w:right w:val="single" w:sz="6" w:space="0" w:color="FFFFFF"/>
            </w:tcBorders>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924" w:type="dxa"/>
            <w:vMerge/>
            <w:tcBorders>
              <w:left w:val="single" w:sz="6" w:space="0" w:color="FFFFFF"/>
              <w:right w:val="single" w:sz="6" w:space="0" w:color="FFFFFF"/>
            </w:tcBorders>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3619"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市场营销（物流管理）</w:t>
            </w:r>
          </w:p>
        </w:tc>
        <w:tc>
          <w:tcPr>
            <w:tcW w:w="2024"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100.00</w:t>
            </w:r>
          </w:p>
        </w:tc>
      </w:tr>
      <w:tr w:rsidR="00000000">
        <w:trPr>
          <w:trHeight w:val="356"/>
        </w:trPr>
        <w:tc>
          <w:tcPr>
            <w:tcW w:w="1408" w:type="dxa"/>
            <w:vMerge/>
            <w:tcBorders>
              <w:left w:val="single" w:sz="6" w:space="0" w:color="FFFFFF"/>
              <w:right w:val="single" w:sz="6" w:space="0" w:color="FFFFFF"/>
            </w:tcBorders>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924" w:type="dxa"/>
            <w:vMerge/>
            <w:tcBorders>
              <w:left w:val="single" w:sz="6" w:space="0" w:color="FFFFFF"/>
              <w:right w:val="single" w:sz="6" w:space="0" w:color="FFFFFF"/>
            </w:tcBorders>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3619"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会计学</w:t>
            </w:r>
          </w:p>
        </w:tc>
        <w:tc>
          <w:tcPr>
            <w:tcW w:w="2024"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97.22</w:t>
            </w:r>
          </w:p>
        </w:tc>
      </w:tr>
      <w:tr w:rsidR="00000000">
        <w:trPr>
          <w:trHeight w:val="356"/>
        </w:trPr>
        <w:tc>
          <w:tcPr>
            <w:tcW w:w="1408" w:type="dxa"/>
            <w:vMerge/>
            <w:tcBorders>
              <w:left w:val="single" w:sz="6" w:space="0" w:color="FFFFFF"/>
              <w:right w:val="single" w:sz="6" w:space="0" w:color="FFFFFF"/>
            </w:tcBorders>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924" w:type="dxa"/>
            <w:vMerge/>
            <w:tcBorders>
              <w:left w:val="single" w:sz="6" w:space="0" w:color="FFFFFF"/>
              <w:right w:val="single" w:sz="6" w:space="0" w:color="FFFFFF"/>
            </w:tcBorders>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3619"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行政管理</w:t>
            </w:r>
          </w:p>
        </w:tc>
        <w:tc>
          <w:tcPr>
            <w:tcW w:w="2024"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100.00</w:t>
            </w:r>
          </w:p>
        </w:tc>
      </w:tr>
      <w:tr w:rsidR="00000000">
        <w:trPr>
          <w:trHeight w:val="356"/>
        </w:trPr>
        <w:tc>
          <w:tcPr>
            <w:tcW w:w="1408" w:type="dxa"/>
            <w:vMerge/>
            <w:tcBorders>
              <w:left w:val="single" w:sz="6" w:space="0" w:color="FFFFFF"/>
              <w:bottom w:val="single" w:sz="6" w:space="0" w:color="FFFFFF"/>
              <w:right w:val="single" w:sz="6" w:space="0" w:color="FFFFFF"/>
            </w:tcBorders>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924" w:type="dxa"/>
            <w:vMerge/>
            <w:tcBorders>
              <w:left w:val="single" w:sz="6" w:space="0" w:color="FFFFFF"/>
              <w:bottom w:val="single" w:sz="6" w:space="0" w:color="FFFFFF"/>
              <w:right w:val="single" w:sz="6" w:space="0" w:color="FFFFFF"/>
            </w:tcBorders>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3619"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color w:val="000000"/>
                <w:kern w:val="0"/>
                <w:sz w:val="20"/>
                <w:szCs w:val="20"/>
                <w:lang/>
              </w:rPr>
            </w:pPr>
            <w:r>
              <w:rPr>
                <w:rFonts w:ascii="宋体" w:hAnsi="宋体" w:cs="宋体" w:hint="eastAsia"/>
                <w:color w:val="000000"/>
                <w:kern w:val="0"/>
                <w:sz w:val="20"/>
                <w:szCs w:val="20"/>
                <w:lang/>
              </w:rPr>
              <w:t>城市管理</w:t>
            </w:r>
          </w:p>
        </w:tc>
        <w:tc>
          <w:tcPr>
            <w:tcW w:w="2024"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color w:val="000000"/>
                <w:kern w:val="0"/>
                <w:sz w:val="20"/>
                <w:szCs w:val="20"/>
                <w:lang/>
              </w:rPr>
            </w:pPr>
            <w:r>
              <w:rPr>
                <w:rFonts w:ascii="宋体" w:hAnsi="宋体" w:cs="宋体" w:hint="eastAsia"/>
                <w:color w:val="000000"/>
                <w:kern w:val="0"/>
                <w:sz w:val="20"/>
                <w:szCs w:val="20"/>
                <w:lang/>
              </w:rPr>
              <w:t>100.0</w:t>
            </w:r>
            <w:r>
              <w:rPr>
                <w:rFonts w:ascii="宋体" w:hAnsi="宋体" w:cs="宋体" w:hint="eastAsia"/>
                <w:color w:val="000000"/>
                <w:kern w:val="0"/>
                <w:sz w:val="20"/>
                <w:szCs w:val="20"/>
                <w:lang/>
              </w:rPr>
              <w:t>0</w:t>
            </w:r>
          </w:p>
        </w:tc>
      </w:tr>
      <w:tr w:rsidR="00000000">
        <w:trPr>
          <w:trHeight w:val="356"/>
        </w:trPr>
        <w:tc>
          <w:tcPr>
            <w:tcW w:w="1408" w:type="dxa"/>
            <w:vMerge w:val="restart"/>
            <w:tcBorders>
              <w:top w:val="single" w:sz="6" w:space="0" w:color="FFFFFF"/>
              <w:left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信息科学部</w:t>
            </w:r>
          </w:p>
        </w:tc>
        <w:tc>
          <w:tcPr>
            <w:tcW w:w="924" w:type="dxa"/>
            <w:vMerge w:val="restart"/>
            <w:tcBorders>
              <w:top w:val="single" w:sz="6" w:space="0" w:color="FFFFFF"/>
              <w:left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99.59</w:t>
            </w:r>
          </w:p>
        </w:tc>
        <w:tc>
          <w:tcPr>
            <w:tcW w:w="3619"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color w:val="000000"/>
                <w:kern w:val="0"/>
                <w:sz w:val="20"/>
                <w:szCs w:val="20"/>
                <w:lang/>
              </w:rPr>
            </w:pPr>
            <w:r>
              <w:rPr>
                <w:rFonts w:ascii="宋体" w:hAnsi="宋体" w:cs="宋体" w:hint="eastAsia"/>
                <w:color w:val="000000"/>
                <w:kern w:val="0"/>
                <w:sz w:val="20"/>
                <w:szCs w:val="20"/>
                <w:lang/>
              </w:rPr>
              <w:t>微电子科学与工程</w:t>
            </w:r>
          </w:p>
        </w:tc>
        <w:tc>
          <w:tcPr>
            <w:tcW w:w="2024"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color w:val="000000"/>
                <w:kern w:val="0"/>
                <w:sz w:val="20"/>
                <w:szCs w:val="20"/>
                <w:lang/>
              </w:rPr>
            </w:pPr>
            <w:r>
              <w:rPr>
                <w:rFonts w:ascii="宋体" w:hAnsi="宋体" w:cs="宋体" w:hint="eastAsia"/>
                <w:color w:val="000000"/>
                <w:kern w:val="0"/>
                <w:sz w:val="20"/>
                <w:szCs w:val="20"/>
                <w:lang/>
              </w:rPr>
              <w:t>100.00</w:t>
            </w:r>
          </w:p>
        </w:tc>
      </w:tr>
      <w:tr w:rsidR="00000000">
        <w:trPr>
          <w:trHeight w:val="356"/>
        </w:trPr>
        <w:tc>
          <w:tcPr>
            <w:tcW w:w="1408" w:type="dxa"/>
            <w:vMerge/>
            <w:tcBorders>
              <w:left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p>
        </w:tc>
        <w:tc>
          <w:tcPr>
            <w:tcW w:w="924" w:type="dxa"/>
            <w:vMerge/>
            <w:tcBorders>
              <w:left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p>
        </w:tc>
        <w:tc>
          <w:tcPr>
            <w:tcW w:w="3619"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自动化</w:t>
            </w:r>
          </w:p>
        </w:tc>
        <w:tc>
          <w:tcPr>
            <w:tcW w:w="2024"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100.00</w:t>
            </w:r>
          </w:p>
        </w:tc>
      </w:tr>
      <w:tr w:rsidR="00000000">
        <w:trPr>
          <w:trHeight w:val="356"/>
        </w:trPr>
        <w:tc>
          <w:tcPr>
            <w:tcW w:w="1408" w:type="dxa"/>
            <w:vMerge/>
            <w:tcBorders>
              <w:left w:val="single" w:sz="6" w:space="0" w:color="FFFFFF"/>
              <w:right w:val="single" w:sz="6" w:space="0" w:color="FFFFFF"/>
            </w:tcBorders>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924" w:type="dxa"/>
            <w:vMerge/>
            <w:tcBorders>
              <w:left w:val="single" w:sz="6" w:space="0" w:color="FFFFFF"/>
              <w:right w:val="single" w:sz="6" w:space="0" w:color="FFFFFF"/>
            </w:tcBorders>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3619"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电子信息工程</w:t>
            </w:r>
          </w:p>
        </w:tc>
        <w:tc>
          <w:tcPr>
            <w:tcW w:w="2024"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100.00</w:t>
            </w:r>
          </w:p>
        </w:tc>
      </w:tr>
      <w:tr w:rsidR="00000000">
        <w:trPr>
          <w:trHeight w:val="356"/>
        </w:trPr>
        <w:tc>
          <w:tcPr>
            <w:tcW w:w="1408" w:type="dxa"/>
            <w:vMerge/>
            <w:tcBorders>
              <w:left w:val="single" w:sz="6" w:space="0" w:color="FFFFFF"/>
              <w:right w:val="single" w:sz="6" w:space="0" w:color="FFFFFF"/>
            </w:tcBorders>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924" w:type="dxa"/>
            <w:vMerge/>
            <w:tcBorders>
              <w:left w:val="single" w:sz="6" w:space="0" w:color="FFFFFF"/>
              <w:right w:val="single" w:sz="6" w:space="0" w:color="FFFFFF"/>
            </w:tcBorders>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3619"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计算机科学与技术</w:t>
            </w:r>
          </w:p>
        </w:tc>
        <w:tc>
          <w:tcPr>
            <w:tcW w:w="2024"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100.00</w:t>
            </w:r>
          </w:p>
        </w:tc>
      </w:tr>
      <w:tr w:rsidR="00000000">
        <w:trPr>
          <w:trHeight w:val="356"/>
        </w:trPr>
        <w:tc>
          <w:tcPr>
            <w:tcW w:w="1408" w:type="dxa"/>
            <w:vMerge/>
            <w:tcBorders>
              <w:left w:val="single" w:sz="6" w:space="0" w:color="FFFFFF"/>
              <w:right w:val="single" w:sz="6" w:space="0" w:color="FFFFFF"/>
            </w:tcBorders>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924" w:type="dxa"/>
            <w:vMerge/>
            <w:tcBorders>
              <w:left w:val="single" w:sz="6" w:space="0" w:color="FFFFFF"/>
              <w:right w:val="single" w:sz="6" w:space="0" w:color="FFFFFF"/>
            </w:tcBorders>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3619"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color w:val="000000"/>
                <w:kern w:val="0"/>
                <w:sz w:val="20"/>
                <w:szCs w:val="20"/>
                <w:lang/>
              </w:rPr>
            </w:pPr>
            <w:r>
              <w:rPr>
                <w:rFonts w:ascii="宋体" w:hAnsi="宋体" w:cs="宋体" w:hint="eastAsia"/>
                <w:color w:val="000000"/>
                <w:kern w:val="0"/>
                <w:sz w:val="20"/>
                <w:szCs w:val="20"/>
                <w:lang/>
              </w:rPr>
              <w:t>物联网</w:t>
            </w:r>
          </w:p>
        </w:tc>
        <w:tc>
          <w:tcPr>
            <w:tcW w:w="2024"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color w:val="000000"/>
                <w:kern w:val="0"/>
                <w:sz w:val="20"/>
                <w:szCs w:val="20"/>
                <w:lang/>
              </w:rPr>
            </w:pPr>
            <w:r>
              <w:rPr>
                <w:rFonts w:ascii="宋体" w:hAnsi="宋体" w:cs="宋体" w:hint="eastAsia"/>
                <w:color w:val="000000"/>
                <w:kern w:val="0"/>
                <w:sz w:val="20"/>
                <w:szCs w:val="20"/>
                <w:lang/>
              </w:rPr>
              <w:t>100.00</w:t>
            </w:r>
          </w:p>
        </w:tc>
      </w:tr>
      <w:tr w:rsidR="00000000">
        <w:trPr>
          <w:trHeight w:val="356"/>
        </w:trPr>
        <w:tc>
          <w:tcPr>
            <w:tcW w:w="1408" w:type="dxa"/>
            <w:vMerge/>
            <w:tcBorders>
              <w:left w:val="single" w:sz="6" w:space="0" w:color="FFFFFF"/>
              <w:bottom w:val="single" w:sz="6" w:space="0" w:color="FFFFFF"/>
              <w:right w:val="single" w:sz="6" w:space="0" w:color="FFFFFF"/>
            </w:tcBorders>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924" w:type="dxa"/>
            <w:vMerge/>
            <w:tcBorders>
              <w:left w:val="single" w:sz="6" w:space="0" w:color="FFFFFF"/>
              <w:bottom w:val="single" w:sz="6" w:space="0" w:color="FFFFFF"/>
              <w:right w:val="single" w:sz="6" w:space="0" w:color="FFFFFF"/>
            </w:tcBorders>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3619"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集成电路设计与集成系统</w:t>
            </w:r>
          </w:p>
        </w:tc>
        <w:tc>
          <w:tcPr>
            <w:tcW w:w="2024"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98.11</w:t>
            </w:r>
          </w:p>
        </w:tc>
      </w:tr>
      <w:tr w:rsidR="00000000">
        <w:trPr>
          <w:trHeight w:val="356"/>
        </w:trPr>
        <w:tc>
          <w:tcPr>
            <w:tcW w:w="1408" w:type="dxa"/>
            <w:vMerge w:val="restart"/>
            <w:tcBorders>
              <w:top w:val="single" w:sz="6" w:space="0" w:color="FFFFFF"/>
              <w:left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工程学部</w:t>
            </w:r>
          </w:p>
        </w:tc>
        <w:tc>
          <w:tcPr>
            <w:tcW w:w="924" w:type="dxa"/>
            <w:vMerge w:val="restart"/>
            <w:tcBorders>
              <w:top w:val="single" w:sz="6" w:space="0" w:color="FFFFFF"/>
              <w:left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100.00</w:t>
            </w:r>
          </w:p>
        </w:tc>
        <w:tc>
          <w:tcPr>
            <w:tcW w:w="3619"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机械工程</w:t>
            </w:r>
          </w:p>
        </w:tc>
        <w:tc>
          <w:tcPr>
            <w:tcW w:w="2024"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100.00</w:t>
            </w:r>
          </w:p>
        </w:tc>
      </w:tr>
      <w:tr w:rsidR="00000000">
        <w:trPr>
          <w:trHeight w:val="356"/>
        </w:trPr>
        <w:tc>
          <w:tcPr>
            <w:tcW w:w="1408" w:type="dxa"/>
            <w:vMerge/>
            <w:tcBorders>
              <w:left w:val="single" w:sz="6" w:space="0" w:color="FFFFFF"/>
              <w:right w:val="single" w:sz="6" w:space="0" w:color="FFFFFF"/>
            </w:tcBorders>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924" w:type="dxa"/>
            <w:vMerge/>
            <w:tcBorders>
              <w:left w:val="single" w:sz="6" w:space="0" w:color="FFFFFF"/>
              <w:right w:val="single" w:sz="6" w:space="0" w:color="FFFFFF"/>
            </w:tcBorders>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3619"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土木工程</w:t>
            </w:r>
          </w:p>
        </w:tc>
        <w:tc>
          <w:tcPr>
            <w:tcW w:w="2024"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100.00</w:t>
            </w:r>
          </w:p>
        </w:tc>
      </w:tr>
      <w:tr w:rsidR="00000000">
        <w:trPr>
          <w:trHeight w:val="356"/>
        </w:trPr>
        <w:tc>
          <w:tcPr>
            <w:tcW w:w="1408" w:type="dxa"/>
            <w:vMerge/>
            <w:tcBorders>
              <w:left w:val="single" w:sz="6" w:space="0" w:color="FFFFFF"/>
              <w:right w:val="single" w:sz="6" w:space="0" w:color="FFFFFF"/>
            </w:tcBorders>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924" w:type="dxa"/>
            <w:vMerge/>
            <w:tcBorders>
              <w:left w:val="single" w:sz="6" w:space="0" w:color="FFFFFF"/>
              <w:right w:val="single" w:sz="6" w:space="0" w:color="FFFFFF"/>
            </w:tcBorders>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3619"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化学工程与工艺</w:t>
            </w:r>
          </w:p>
        </w:tc>
        <w:tc>
          <w:tcPr>
            <w:tcW w:w="2024"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100.00</w:t>
            </w:r>
          </w:p>
        </w:tc>
      </w:tr>
      <w:tr w:rsidR="00000000">
        <w:trPr>
          <w:trHeight w:val="356"/>
        </w:trPr>
        <w:tc>
          <w:tcPr>
            <w:tcW w:w="1408" w:type="dxa"/>
            <w:vMerge/>
            <w:tcBorders>
              <w:left w:val="single" w:sz="6" w:space="0" w:color="FFFFFF"/>
              <w:right w:val="single" w:sz="6" w:space="0" w:color="FFFFFF"/>
            </w:tcBorders>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924" w:type="dxa"/>
            <w:vMerge/>
            <w:tcBorders>
              <w:left w:val="single" w:sz="6" w:space="0" w:color="FFFFFF"/>
              <w:right w:val="single" w:sz="6" w:space="0" w:color="FFFFFF"/>
            </w:tcBorders>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3619"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轻化工程</w:t>
            </w:r>
          </w:p>
        </w:tc>
        <w:tc>
          <w:tcPr>
            <w:tcW w:w="2024"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100.00</w:t>
            </w:r>
          </w:p>
        </w:tc>
      </w:tr>
      <w:tr w:rsidR="00000000">
        <w:trPr>
          <w:trHeight w:val="356"/>
        </w:trPr>
        <w:tc>
          <w:tcPr>
            <w:tcW w:w="1408" w:type="dxa"/>
            <w:vMerge/>
            <w:tcBorders>
              <w:left w:val="single" w:sz="6" w:space="0" w:color="FFFFFF"/>
              <w:right w:val="single" w:sz="6" w:space="0" w:color="FFFFFF"/>
            </w:tcBorders>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924" w:type="dxa"/>
            <w:vMerge/>
            <w:tcBorders>
              <w:left w:val="single" w:sz="6" w:space="0" w:color="FFFFFF"/>
              <w:right w:val="single" w:sz="6" w:space="0" w:color="FFFFFF"/>
            </w:tcBorders>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3619"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纺织工程</w:t>
            </w:r>
          </w:p>
        </w:tc>
        <w:tc>
          <w:tcPr>
            <w:tcW w:w="2024"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100.00</w:t>
            </w:r>
          </w:p>
        </w:tc>
      </w:tr>
      <w:tr w:rsidR="00000000">
        <w:trPr>
          <w:trHeight w:val="356"/>
        </w:trPr>
        <w:tc>
          <w:tcPr>
            <w:tcW w:w="1408" w:type="dxa"/>
            <w:vMerge/>
            <w:tcBorders>
              <w:left w:val="single" w:sz="6" w:space="0" w:color="FFFFFF"/>
              <w:right w:val="single" w:sz="6" w:space="0" w:color="FFFFFF"/>
            </w:tcBorders>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924" w:type="dxa"/>
            <w:vMerge/>
            <w:tcBorders>
              <w:left w:val="single" w:sz="6" w:space="0" w:color="FFFFFF"/>
              <w:right w:val="single" w:sz="6" w:space="0" w:color="FFFFFF"/>
            </w:tcBorders>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3619"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color w:val="000000"/>
                <w:kern w:val="0"/>
                <w:sz w:val="20"/>
                <w:szCs w:val="20"/>
                <w:lang/>
              </w:rPr>
            </w:pPr>
            <w:r>
              <w:rPr>
                <w:rFonts w:ascii="宋体" w:hAnsi="宋体" w:cs="宋体" w:hint="eastAsia"/>
                <w:color w:val="000000"/>
                <w:kern w:val="0"/>
                <w:sz w:val="20"/>
                <w:szCs w:val="20"/>
                <w:lang/>
              </w:rPr>
              <w:t>纺织工程（纺织品检验与贸易）</w:t>
            </w:r>
          </w:p>
        </w:tc>
        <w:tc>
          <w:tcPr>
            <w:tcW w:w="2024"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color w:val="000000"/>
                <w:kern w:val="0"/>
                <w:sz w:val="20"/>
                <w:szCs w:val="20"/>
                <w:lang/>
              </w:rPr>
            </w:pPr>
            <w:r>
              <w:rPr>
                <w:rFonts w:ascii="宋体" w:hAnsi="宋体" w:cs="宋体" w:hint="eastAsia"/>
                <w:color w:val="000000"/>
                <w:kern w:val="0"/>
                <w:sz w:val="20"/>
                <w:szCs w:val="20"/>
                <w:lang/>
              </w:rPr>
              <w:t>100.00</w:t>
            </w:r>
          </w:p>
        </w:tc>
      </w:tr>
      <w:tr w:rsidR="00000000">
        <w:trPr>
          <w:trHeight w:val="356"/>
        </w:trPr>
        <w:tc>
          <w:tcPr>
            <w:tcW w:w="1408" w:type="dxa"/>
            <w:vMerge/>
            <w:tcBorders>
              <w:left w:val="single" w:sz="6" w:space="0" w:color="FFFFFF"/>
              <w:right w:val="single" w:sz="6" w:space="0" w:color="FFFFFF"/>
            </w:tcBorders>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924" w:type="dxa"/>
            <w:vMerge/>
            <w:tcBorders>
              <w:left w:val="single" w:sz="6" w:space="0" w:color="FFFFFF"/>
              <w:right w:val="single" w:sz="6" w:space="0" w:color="FFFFFF"/>
            </w:tcBorders>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3619"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服装设计与工程</w:t>
            </w:r>
          </w:p>
        </w:tc>
        <w:tc>
          <w:tcPr>
            <w:tcW w:w="2024"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100.00</w:t>
            </w:r>
          </w:p>
        </w:tc>
      </w:tr>
      <w:tr w:rsidR="00000000">
        <w:trPr>
          <w:trHeight w:val="356"/>
        </w:trPr>
        <w:tc>
          <w:tcPr>
            <w:tcW w:w="1408" w:type="dxa"/>
            <w:vMerge/>
            <w:tcBorders>
              <w:left w:val="single" w:sz="6" w:space="0" w:color="FFFFFF"/>
              <w:right w:val="single" w:sz="6" w:space="0" w:color="FFFFFF"/>
            </w:tcBorders>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924" w:type="dxa"/>
            <w:vMerge/>
            <w:tcBorders>
              <w:left w:val="single" w:sz="6" w:space="0" w:color="FFFFFF"/>
              <w:right w:val="single" w:sz="6" w:space="0" w:color="FFFFFF"/>
            </w:tcBorders>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3619"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服装与服饰设</w:t>
            </w:r>
            <w:r>
              <w:rPr>
                <w:rFonts w:ascii="宋体" w:hAnsi="宋体" w:cs="宋体" w:hint="eastAsia"/>
                <w:color w:val="000000"/>
                <w:kern w:val="0"/>
                <w:sz w:val="20"/>
                <w:szCs w:val="20"/>
                <w:lang/>
              </w:rPr>
              <w:t>计</w:t>
            </w:r>
          </w:p>
        </w:tc>
        <w:tc>
          <w:tcPr>
            <w:tcW w:w="2024"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100.00</w:t>
            </w:r>
          </w:p>
        </w:tc>
      </w:tr>
      <w:tr w:rsidR="00000000">
        <w:trPr>
          <w:trHeight w:val="356"/>
        </w:trPr>
        <w:tc>
          <w:tcPr>
            <w:tcW w:w="1408" w:type="dxa"/>
            <w:vMerge/>
            <w:tcBorders>
              <w:left w:val="single" w:sz="6" w:space="0" w:color="FFFFFF"/>
              <w:bottom w:val="single" w:sz="6" w:space="0" w:color="FFFFFF"/>
              <w:right w:val="single" w:sz="6" w:space="0" w:color="FFFFFF"/>
            </w:tcBorders>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924" w:type="dxa"/>
            <w:vMerge/>
            <w:tcBorders>
              <w:left w:val="single" w:sz="6" w:space="0" w:color="FFFFFF"/>
              <w:bottom w:val="single" w:sz="6" w:space="0" w:color="FFFFFF"/>
              <w:right w:val="single" w:sz="6" w:space="0" w:color="FFFFFF"/>
            </w:tcBorders>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3619"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工程管理</w:t>
            </w:r>
          </w:p>
        </w:tc>
        <w:tc>
          <w:tcPr>
            <w:tcW w:w="2024"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100.00</w:t>
            </w:r>
          </w:p>
        </w:tc>
      </w:tr>
      <w:tr w:rsidR="00000000">
        <w:trPr>
          <w:trHeight w:val="356"/>
        </w:trPr>
        <w:tc>
          <w:tcPr>
            <w:tcW w:w="1408" w:type="dxa"/>
            <w:vMerge w:val="restart"/>
            <w:tcBorders>
              <w:top w:val="single" w:sz="6" w:space="0" w:color="FFFFFF"/>
              <w:left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医学部</w:t>
            </w:r>
            <w:r>
              <w:rPr>
                <w:rFonts w:ascii="宋体" w:hAnsi="宋体" w:cs="宋体" w:hint="eastAsia"/>
                <w:color w:val="000000"/>
                <w:kern w:val="0"/>
                <w:sz w:val="20"/>
                <w:szCs w:val="20"/>
                <w:lang/>
              </w:rPr>
              <w:t>(</w:t>
            </w:r>
            <w:r>
              <w:rPr>
                <w:rFonts w:ascii="宋体" w:hAnsi="宋体" w:cs="宋体" w:hint="eastAsia"/>
                <w:color w:val="000000"/>
                <w:kern w:val="0"/>
                <w:sz w:val="20"/>
                <w:szCs w:val="20"/>
                <w:lang/>
              </w:rPr>
              <w:t>四）</w:t>
            </w:r>
          </w:p>
        </w:tc>
        <w:tc>
          <w:tcPr>
            <w:tcW w:w="924" w:type="dxa"/>
            <w:vMerge w:val="restart"/>
            <w:tcBorders>
              <w:top w:val="single" w:sz="6" w:space="0" w:color="FFFFFF"/>
              <w:left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99.59</w:t>
            </w:r>
          </w:p>
        </w:tc>
        <w:tc>
          <w:tcPr>
            <w:tcW w:w="3619"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医学影像学</w:t>
            </w:r>
          </w:p>
        </w:tc>
        <w:tc>
          <w:tcPr>
            <w:tcW w:w="2024"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100.00</w:t>
            </w:r>
          </w:p>
        </w:tc>
      </w:tr>
      <w:tr w:rsidR="00000000">
        <w:trPr>
          <w:trHeight w:val="356"/>
        </w:trPr>
        <w:tc>
          <w:tcPr>
            <w:tcW w:w="1408" w:type="dxa"/>
            <w:vMerge/>
            <w:tcBorders>
              <w:left w:val="single" w:sz="6" w:space="0" w:color="FFFFFF"/>
              <w:right w:val="single" w:sz="6" w:space="0" w:color="FFFFFF"/>
            </w:tcBorders>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924" w:type="dxa"/>
            <w:vMerge/>
            <w:tcBorders>
              <w:left w:val="single" w:sz="6" w:space="0" w:color="FFFFFF"/>
              <w:right w:val="single" w:sz="6" w:space="0" w:color="FFFFFF"/>
            </w:tcBorders>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3619"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医学检验技术</w:t>
            </w:r>
          </w:p>
        </w:tc>
        <w:tc>
          <w:tcPr>
            <w:tcW w:w="2024"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98.08</w:t>
            </w:r>
          </w:p>
        </w:tc>
      </w:tr>
      <w:tr w:rsidR="00000000">
        <w:trPr>
          <w:trHeight w:val="356"/>
        </w:trPr>
        <w:tc>
          <w:tcPr>
            <w:tcW w:w="1408" w:type="dxa"/>
            <w:vMerge/>
            <w:tcBorders>
              <w:left w:val="single" w:sz="6" w:space="0" w:color="FFFFFF"/>
              <w:right w:val="single" w:sz="6" w:space="0" w:color="FFFFFF"/>
            </w:tcBorders>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924" w:type="dxa"/>
            <w:vMerge/>
            <w:tcBorders>
              <w:left w:val="single" w:sz="6" w:space="0" w:color="FFFFFF"/>
              <w:right w:val="single" w:sz="6" w:space="0" w:color="FFFFFF"/>
            </w:tcBorders>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3619"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color w:val="000000"/>
                <w:kern w:val="0"/>
                <w:sz w:val="20"/>
                <w:szCs w:val="20"/>
                <w:lang/>
              </w:rPr>
            </w:pPr>
            <w:r>
              <w:rPr>
                <w:rFonts w:ascii="宋体" w:hAnsi="宋体" w:cs="宋体" w:hint="eastAsia"/>
                <w:color w:val="000000"/>
                <w:kern w:val="0"/>
                <w:sz w:val="20"/>
                <w:szCs w:val="20"/>
                <w:lang/>
              </w:rPr>
              <w:t>医学实验技术</w:t>
            </w:r>
          </w:p>
        </w:tc>
        <w:tc>
          <w:tcPr>
            <w:tcW w:w="2024"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color w:val="000000"/>
                <w:kern w:val="0"/>
                <w:sz w:val="20"/>
                <w:szCs w:val="20"/>
                <w:lang/>
              </w:rPr>
            </w:pPr>
            <w:r>
              <w:rPr>
                <w:rFonts w:ascii="宋体" w:hAnsi="宋体" w:cs="宋体" w:hint="eastAsia"/>
                <w:color w:val="000000"/>
                <w:kern w:val="0"/>
                <w:sz w:val="20"/>
                <w:szCs w:val="20"/>
                <w:lang/>
              </w:rPr>
              <w:t>100.00</w:t>
            </w:r>
          </w:p>
        </w:tc>
      </w:tr>
      <w:tr w:rsidR="00000000">
        <w:trPr>
          <w:trHeight w:val="356"/>
        </w:trPr>
        <w:tc>
          <w:tcPr>
            <w:tcW w:w="1408" w:type="dxa"/>
            <w:vMerge/>
            <w:tcBorders>
              <w:left w:val="single" w:sz="6" w:space="0" w:color="FFFFFF"/>
              <w:bottom w:val="single" w:sz="6" w:space="0" w:color="FFFFFF"/>
              <w:right w:val="single" w:sz="6" w:space="0" w:color="FFFFFF"/>
            </w:tcBorders>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924" w:type="dxa"/>
            <w:vMerge/>
            <w:tcBorders>
              <w:left w:val="single" w:sz="6" w:space="0" w:color="FFFFFF"/>
              <w:bottom w:val="single" w:sz="6" w:space="0" w:color="FFFFFF"/>
              <w:right w:val="single" w:sz="6" w:space="0" w:color="FFFFFF"/>
            </w:tcBorders>
            <w:shd w:val="solid" w:color="B8CCE4" w:fill="auto"/>
            <w:vAlign w:val="center"/>
          </w:tcPr>
          <w:p w:rsidR="00000000" w:rsidRDefault="009A1129">
            <w:pPr>
              <w:jc w:val="center"/>
              <w:rPr>
                <w:rFonts w:ascii="宋体" w:hAnsi="宋体" w:cs="宋体" w:hint="eastAsia"/>
                <w:b/>
                <w:bCs/>
                <w:color w:val="000000"/>
                <w:kern w:val="0"/>
                <w:sz w:val="20"/>
                <w:szCs w:val="20"/>
              </w:rPr>
            </w:pPr>
          </w:p>
        </w:tc>
        <w:tc>
          <w:tcPr>
            <w:tcW w:w="3619"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护理学</w:t>
            </w:r>
          </w:p>
        </w:tc>
        <w:tc>
          <w:tcPr>
            <w:tcW w:w="2024"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100.00</w:t>
            </w:r>
          </w:p>
        </w:tc>
      </w:tr>
      <w:tr w:rsidR="00000000">
        <w:trPr>
          <w:trHeight w:val="356"/>
        </w:trPr>
        <w:tc>
          <w:tcPr>
            <w:tcW w:w="1408"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医学部（五）</w:t>
            </w:r>
          </w:p>
        </w:tc>
        <w:tc>
          <w:tcPr>
            <w:tcW w:w="924"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91.15</w:t>
            </w:r>
          </w:p>
        </w:tc>
        <w:tc>
          <w:tcPr>
            <w:tcW w:w="3619"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临床医学</w:t>
            </w:r>
          </w:p>
        </w:tc>
        <w:tc>
          <w:tcPr>
            <w:tcW w:w="2024"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91.15</w:t>
            </w:r>
          </w:p>
        </w:tc>
      </w:tr>
      <w:tr w:rsidR="00000000">
        <w:trPr>
          <w:trHeight w:val="400"/>
        </w:trPr>
        <w:tc>
          <w:tcPr>
            <w:tcW w:w="1408"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b/>
                <w:color w:val="000000"/>
                <w:kern w:val="0"/>
                <w:sz w:val="20"/>
                <w:szCs w:val="20"/>
                <w:lang/>
              </w:rPr>
              <w:t>本校平均</w:t>
            </w:r>
          </w:p>
        </w:tc>
        <w:tc>
          <w:tcPr>
            <w:tcW w:w="924"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97.79</w:t>
            </w:r>
          </w:p>
        </w:tc>
        <w:tc>
          <w:tcPr>
            <w:tcW w:w="3619"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b/>
                <w:color w:val="000000"/>
                <w:kern w:val="0"/>
                <w:sz w:val="20"/>
                <w:szCs w:val="20"/>
                <w:lang/>
              </w:rPr>
              <w:t>本校平均</w:t>
            </w:r>
          </w:p>
        </w:tc>
        <w:tc>
          <w:tcPr>
            <w:tcW w:w="2024" w:type="dxa"/>
            <w:tcBorders>
              <w:top w:val="single" w:sz="6" w:space="0" w:color="FFFFFF"/>
              <w:left w:val="single" w:sz="6" w:space="0" w:color="FFFFFF"/>
              <w:bottom w:val="single" w:sz="6" w:space="0" w:color="FFFFFF"/>
              <w:right w:val="single" w:sz="6" w:space="0" w:color="FFFFFF"/>
            </w:tcBorders>
            <w:shd w:val="solid" w:color="B8CCE4" w:fill="auto"/>
            <w:vAlign w:val="center"/>
          </w:tcPr>
          <w:p w:rsidR="00000000" w:rsidRDefault="009A1129">
            <w:pPr>
              <w:widowControl/>
              <w:jc w:val="center"/>
              <w:textAlignment w:val="center"/>
              <w:rPr>
                <w:rFonts w:ascii="宋体" w:hAnsi="宋体" w:cs="宋体" w:hint="eastAsia"/>
                <w:b/>
                <w:bCs/>
                <w:color w:val="000000"/>
                <w:kern w:val="0"/>
                <w:sz w:val="20"/>
                <w:szCs w:val="20"/>
              </w:rPr>
            </w:pPr>
            <w:r>
              <w:rPr>
                <w:rFonts w:ascii="宋体" w:hAnsi="宋体" w:cs="宋体" w:hint="eastAsia"/>
                <w:color w:val="000000"/>
                <w:kern w:val="0"/>
                <w:sz w:val="20"/>
                <w:szCs w:val="20"/>
                <w:lang/>
              </w:rPr>
              <w:t>97.79</w:t>
            </w:r>
          </w:p>
        </w:tc>
      </w:tr>
    </w:tbl>
    <w:p w:rsidR="00000000" w:rsidRDefault="009A1129">
      <w:pPr>
        <w:spacing w:line="480" w:lineRule="auto"/>
        <w:jc w:val="left"/>
        <w:rPr>
          <w:rFonts w:ascii="楷体_GB2312" w:eastAsia="楷体_GB2312" w:hAnsi="楷体_GB2312" w:cs="楷体_GB2312" w:hint="eastAsia"/>
          <w:b/>
          <w:sz w:val="32"/>
          <w:szCs w:val="32"/>
        </w:rPr>
      </w:pPr>
    </w:p>
    <w:p w:rsidR="00000000" w:rsidRDefault="009A1129">
      <w:pPr>
        <w:spacing w:line="480" w:lineRule="auto"/>
        <w:jc w:val="left"/>
        <w:rPr>
          <w:rFonts w:ascii="楷体_GB2312" w:eastAsia="楷体_GB2312" w:hAnsi="楷体_GB2312" w:cs="楷体_GB2312"/>
          <w:b/>
          <w:sz w:val="28"/>
          <w:szCs w:val="28"/>
        </w:rPr>
      </w:pPr>
      <w:r>
        <w:rPr>
          <w:rFonts w:ascii="楷体_GB2312" w:eastAsia="楷体_GB2312" w:hAnsi="楷体_GB2312" w:cs="楷体_GB2312" w:hint="eastAsia"/>
          <w:b/>
          <w:sz w:val="32"/>
          <w:szCs w:val="32"/>
        </w:rPr>
        <w:t>(</w:t>
      </w:r>
      <w:r>
        <w:rPr>
          <w:rFonts w:ascii="楷体_GB2312" w:eastAsia="楷体_GB2312" w:hAnsi="楷体_GB2312" w:cs="楷体_GB2312" w:hint="eastAsia"/>
          <w:b/>
          <w:sz w:val="32"/>
          <w:szCs w:val="32"/>
        </w:rPr>
        <w:t>三）</w:t>
      </w:r>
      <w:r>
        <w:rPr>
          <w:rFonts w:ascii="楷体_GB2312" w:eastAsia="楷体_GB2312" w:hAnsi="楷体_GB2312" w:cs="楷体_GB2312" w:hint="eastAsia"/>
          <w:b/>
          <w:sz w:val="28"/>
          <w:szCs w:val="28"/>
        </w:rPr>
        <w:t>不同性别毕业生就业率统计分析</w:t>
      </w:r>
    </w:p>
    <w:p w:rsidR="00000000" w:rsidRDefault="009A1129">
      <w:pPr>
        <w:spacing w:line="480" w:lineRule="auto"/>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我院</w:t>
      </w:r>
      <w:r>
        <w:rPr>
          <w:rFonts w:ascii="楷体_GB2312" w:eastAsia="楷体_GB2312" w:hAnsi="楷体_GB2312" w:cs="楷体_GB2312" w:hint="eastAsia"/>
          <w:sz w:val="28"/>
          <w:szCs w:val="28"/>
        </w:rPr>
        <w:t>201</w:t>
      </w:r>
      <w:r>
        <w:rPr>
          <w:rFonts w:ascii="楷体_GB2312" w:eastAsia="楷体_GB2312" w:hAnsi="楷体_GB2312" w:cs="楷体_GB2312" w:hint="eastAsia"/>
          <w:sz w:val="28"/>
          <w:szCs w:val="28"/>
        </w:rPr>
        <w:t>7</w:t>
      </w:r>
      <w:r>
        <w:rPr>
          <w:rFonts w:ascii="楷体_GB2312" w:eastAsia="楷体_GB2312" w:hAnsi="楷体_GB2312" w:cs="楷体_GB2312" w:hint="eastAsia"/>
          <w:sz w:val="28"/>
          <w:szCs w:val="28"/>
        </w:rPr>
        <w:t>届毕业生中，女生就业率为</w:t>
      </w:r>
      <w:r>
        <w:rPr>
          <w:rFonts w:ascii="楷体_GB2312" w:eastAsia="楷体_GB2312" w:hAnsi="楷体_GB2312" w:cs="楷体_GB2312" w:hint="eastAsia"/>
          <w:sz w:val="28"/>
          <w:szCs w:val="28"/>
        </w:rPr>
        <w:t>98.</w:t>
      </w:r>
      <w:r>
        <w:rPr>
          <w:rFonts w:ascii="楷体_GB2312" w:eastAsia="楷体_GB2312" w:hAnsi="楷体_GB2312" w:cs="楷体_GB2312" w:hint="eastAsia"/>
          <w:sz w:val="28"/>
          <w:szCs w:val="28"/>
        </w:rPr>
        <w:t>23</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，男生就业率</w:t>
      </w:r>
      <w:r>
        <w:rPr>
          <w:rFonts w:ascii="楷体_GB2312" w:eastAsia="楷体_GB2312" w:hAnsi="楷体_GB2312" w:cs="楷体_GB2312" w:hint="eastAsia"/>
          <w:sz w:val="28"/>
          <w:szCs w:val="28"/>
        </w:rPr>
        <w:t>9</w:t>
      </w:r>
      <w:r>
        <w:rPr>
          <w:rFonts w:ascii="楷体_GB2312" w:eastAsia="楷体_GB2312" w:hAnsi="楷体_GB2312" w:cs="楷体_GB2312" w:hint="eastAsia"/>
          <w:sz w:val="28"/>
          <w:szCs w:val="28"/>
        </w:rPr>
        <w:t>7.28</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，女生较男生高</w:t>
      </w:r>
      <w:r>
        <w:rPr>
          <w:rFonts w:ascii="楷体_GB2312" w:eastAsia="楷体_GB2312" w:hAnsi="楷体_GB2312" w:cs="楷体_GB2312" w:hint="eastAsia"/>
          <w:sz w:val="28"/>
          <w:szCs w:val="28"/>
        </w:rPr>
        <w:t>1</w:t>
      </w:r>
      <w:r>
        <w:rPr>
          <w:rFonts w:ascii="楷体_GB2312" w:eastAsia="楷体_GB2312" w:hAnsi="楷体_GB2312" w:cs="楷体_GB2312" w:hint="eastAsia"/>
          <w:sz w:val="28"/>
          <w:szCs w:val="28"/>
        </w:rPr>
        <w:t>个百分点。从各学部就业率统计情况看</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见图</w:t>
      </w:r>
      <w:r>
        <w:rPr>
          <w:rFonts w:ascii="楷体_GB2312" w:eastAsia="楷体_GB2312" w:hAnsi="楷体_GB2312" w:cs="楷体_GB2312" w:hint="eastAsia"/>
          <w:sz w:val="28"/>
          <w:szCs w:val="28"/>
        </w:rPr>
        <w:t>1-5</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，人文学部、理学部、</w:t>
      </w:r>
      <w:r>
        <w:rPr>
          <w:rFonts w:ascii="楷体_GB2312" w:eastAsia="楷体_GB2312" w:hAnsi="楷体_GB2312" w:cs="楷体_GB2312" w:hint="eastAsia"/>
          <w:sz w:val="28"/>
          <w:szCs w:val="28"/>
        </w:rPr>
        <w:t>工程</w:t>
      </w:r>
      <w:r>
        <w:rPr>
          <w:rFonts w:ascii="楷体_GB2312" w:eastAsia="楷体_GB2312" w:hAnsi="楷体_GB2312" w:cs="楷体_GB2312" w:hint="eastAsia"/>
          <w:sz w:val="28"/>
          <w:szCs w:val="28"/>
        </w:rPr>
        <w:t>学部男女生就业率均为</w:t>
      </w:r>
      <w:r>
        <w:rPr>
          <w:rFonts w:ascii="楷体_GB2312" w:eastAsia="楷体_GB2312" w:hAnsi="楷体_GB2312" w:cs="楷体_GB2312" w:hint="eastAsia"/>
          <w:sz w:val="28"/>
          <w:szCs w:val="28"/>
        </w:rPr>
        <w:t>100%</w:t>
      </w:r>
      <w:r>
        <w:rPr>
          <w:rFonts w:ascii="楷体_GB2312" w:eastAsia="楷体_GB2312" w:hAnsi="楷体_GB2312" w:cs="楷体_GB2312" w:hint="eastAsia"/>
          <w:sz w:val="28"/>
          <w:szCs w:val="28"/>
        </w:rPr>
        <w:t>。</w:t>
      </w:r>
    </w:p>
    <w:p w:rsidR="00000000" w:rsidRDefault="006666D3">
      <w:pPr>
        <w:spacing w:line="480" w:lineRule="auto"/>
        <w:ind w:firstLineChars="200" w:firstLine="420"/>
        <w:jc w:val="left"/>
        <w:rPr>
          <w:rFonts w:ascii="楷体_GB2312" w:eastAsia="楷体_GB2312" w:hAnsi="楷体_GB2312" w:cs="楷体_GB2312"/>
          <w:sz w:val="28"/>
          <w:szCs w:val="28"/>
        </w:rPr>
      </w:pPr>
      <w:r>
        <w:rPr>
          <w:noProof/>
        </w:rPr>
        <w:drawing>
          <wp:inline distT="0" distB="0" distL="0" distR="0">
            <wp:extent cx="4734336" cy="2506721"/>
            <wp:effectExtent l="4349" t="4061" r="14290" b="13343"/>
            <wp:docPr id="8"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00000" w:rsidRDefault="009A1129">
      <w:pPr>
        <w:spacing w:line="480" w:lineRule="auto"/>
        <w:jc w:val="center"/>
        <w:rPr>
          <w:rFonts w:ascii="楷体_GB2312" w:eastAsia="楷体_GB2312" w:hAnsi="楷体_GB2312" w:cs="楷体_GB2312" w:hint="eastAsia"/>
          <w:b/>
          <w:sz w:val="28"/>
          <w:szCs w:val="28"/>
        </w:rPr>
      </w:pPr>
      <w:r>
        <w:rPr>
          <w:rFonts w:ascii="楷体_GB2312" w:eastAsia="楷体_GB2312" w:hAnsi="楷体_GB2312" w:cs="楷体_GB2312" w:hint="eastAsia"/>
          <w:b/>
          <w:sz w:val="28"/>
          <w:szCs w:val="28"/>
        </w:rPr>
        <w:t>图</w:t>
      </w:r>
      <w:r>
        <w:rPr>
          <w:rFonts w:ascii="楷体_GB2312" w:eastAsia="楷体_GB2312" w:hAnsi="楷体_GB2312" w:cs="楷体_GB2312" w:hint="eastAsia"/>
          <w:b/>
          <w:sz w:val="28"/>
          <w:szCs w:val="28"/>
        </w:rPr>
        <w:t>1-5  201</w:t>
      </w:r>
      <w:r>
        <w:rPr>
          <w:rFonts w:ascii="楷体_GB2312" w:eastAsia="楷体_GB2312" w:hAnsi="楷体_GB2312" w:cs="楷体_GB2312" w:hint="eastAsia"/>
          <w:b/>
          <w:sz w:val="28"/>
          <w:szCs w:val="28"/>
        </w:rPr>
        <w:t>7</w:t>
      </w:r>
      <w:r>
        <w:rPr>
          <w:rFonts w:ascii="楷体_GB2312" w:eastAsia="楷体_GB2312" w:hAnsi="楷体_GB2312" w:cs="楷体_GB2312" w:hint="eastAsia"/>
          <w:b/>
          <w:sz w:val="28"/>
          <w:szCs w:val="28"/>
        </w:rPr>
        <w:t>届毕业生各学部不同性别就业情况</w:t>
      </w:r>
    </w:p>
    <w:p w:rsidR="00000000" w:rsidRDefault="009A1129">
      <w:pPr>
        <w:spacing w:line="480" w:lineRule="auto"/>
        <w:jc w:val="center"/>
        <w:rPr>
          <w:rFonts w:ascii="楷体_GB2312" w:eastAsia="楷体_GB2312" w:hAnsi="楷体_GB2312" w:cs="楷体_GB2312" w:hint="eastAsia"/>
          <w:b/>
          <w:sz w:val="28"/>
          <w:szCs w:val="28"/>
        </w:rPr>
      </w:pPr>
    </w:p>
    <w:p w:rsidR="00000000" w:rsidRDefault="009A1129">
      <w:pPr>
        <w:spacing w:line="480" w:lineRule="auto"/>
        <w:jc w:val="left"/>
        <w:rPr>
          <w:rFonts w:ascii="楷体_GB2312" w:eastAsia="楷体_GB2312" w:hAnsi="楷体_GB2312" w:cs="楷体_GB2312"/>
          <w:b/>
          <w:sz w:val="28"/>
          <w:szCs w:val="28"/>
        </w:rPr>
      </w:pPr>
      <w:r>
        <w:rPr>
          <w:rFonts w:ascii="楷体_GB2312" w:eastAsia="楷体_GB2312" w:hAnsi="楷体_GB2312" w:cs="楷体_GB2312" w:hint="eastAsia"/>
          <w:b/>
          <w:sz w:val="28"/>
          <w:szCs w:val="28"/>
        </w:rPr>
        <w:t>（四）不同生源地区毕业生就业率统计分析</w:t>
      </w:r>
    </w:p>
    <w:p w:rsidR="00000000" w:rsidRDefault="009A1129">
      <w:pPr>
        <w:pStyle w:val="aa"/>
        <w:ind w:firstLineChars="200" w:firstLine="560"/>
        <w:rPr>
          <w:rFonts w:ascii="楷体_GB2312" w:eastAsia="楷体_GB2312" w:hAnsi="楷体_GB2312" w:cs="楷体_GB2312"/>
          <w:sz w:val="28"/>
          <w:szCs w:val="28"/>
        </w:rPr>
      </w:pPr>
      <w:r>
        <w:rPr>
          <w:rFonts w:ascii="楷体_GB2312" w:eastAsia="楷体_GB2312" w:hAnsi="楷体_GB2312" w:cs="楷体_GB2312" w:hint="eastAsia"/>
          <w:sz w:val="28"/>
          <w:szCs w:val="28"/>
        </w:rPr>
        <w:t>我院</w:t>
      </w:r>
      <w:r>
        <w:rPr>
          <w:rFonts w:ascii="楷体_GB2312" w:eastAsia="楷体_GB2312" w:hAnsi="楷体_GB2312" w:cs="楷体_GB2312" w:hint="eastAsia"/>
          <w:sz w:val="28"/>
          <w:szCs w:val="28"/>
        </w:rPr>
        <w:t>201</w:t>
      </w:r>
      <w:r>
        <w:rPr>
          <w:rFonts w:ascii="楷体_GB2312" w:eastAsia="楷体_GB2312" w:hAnsi="楷体_GB2312" w:cs="楷体_GB2312" w:hint="eastAsia"/>
          <w:sz w:val="28"/>
          <w:szCs w:val="28"/>
        </w:rPr>
        <w:t>7</w:t>
      </w:r>
      <w:r>
        <w:rPr>
          <w:rFonts w:ascii="楷体_GB2312" w:eastAsia="楷体_GB2312" w:hAnsi="楷体_GB2312" w:cs="楷体_GB2312" w:hint="eastAsia"/>
          <w:sz w:val="28"/>
          <w:szCs w:val="28"/>
        </w:rPr>
        <w:t>届毕业生中，江苏生源毕业生年终就业率为</w:t>
      </w:r>
      <w:r>
        <w:rPr>
          <w:rFonts w:ascii="楷体_GB2312" w:eastAsia="楷体_GB2312" w:hAnsi="楷体_GB2312" w:cs="楷体_GB2312" w:hint="eastAsia"/>
          <w:sz w:val="28"/>
          <w:szCs w:val="28"/>
        </w:rPr>
        <w:t>97.56</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，其他省市生源毕业生就业率</w:t>
      </w:r>
      <w:r>
        <w:rPr>
          <w:rFonts w:ascii="楷体_GB2312" w:eastAsia="楷体_GB2312" w:hAnsi="楷体_GB2312" w:cs="楷体_GB2312" w:hint="eastAsia"/>
          <w:sz w:val="28"/>
          <w:szCs w:val="28"/>
        </w:rPr>
        <w:t>均为</w:t>
      </w:r>
      <w:r>
        <w:rPr>
          <w:rFonts w:ascii="楷体_GB2312" w:eastAsia="楷体_GB2312" w:hAnsi="楷体_GB2312" w:cs="楷体_GB2312" w:hint="eastAsia"/>
          <w:sz w:val="28"/>
          <w:szCs w:val="28"/>
        </w:rPr>
        <w:t>100</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见表</w:t>
      </w:r>
      <w:r>
        <w:rPr>
          <w:rFonts w:ascii="楷体_GB2312" w:eastAsia="楷体_GB2312" w:hAnsi="楷体_GB2312" w:cs="楷体_GB2312" w:hint="eastAsia"/>
          <w:sz w:val="28"/>
          <w:szCs w:val="28"/>
        </w:rPr>
        <w:t>1-5</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w:t>
      </w:r>
    </w:p>
    <w:tbl>
      <w:tblPr>
        <w:tblW w:w="0" w:type="auto"/>
        <w:jc w:val="center"/>
        <w:tblInd w:w="0" w:type="dxa"/>
        <w:tblLayout w:type="fixed"/>
        <w:tblCellMar>
          <w:left w:w="0" w:type="dxa"/>
          <w:right w:w="0" w:type="dxa"/>
        </w:tblCellMar>
        <w:tblLook w:val="0000"/>
      </w:tblPr>
      <w:tblGrid>
        <w:gridCol w:w="1080"/>
        <w:gridCol w:w="1225"/>
        <w:gridCol w:w="1515"/>
        <w:gridCol w:w="1738"/>
      </w:tblGrid>
      <w:tr w:rsidR="00000000">
        <w:trPr>
          <w:trHeight w:val="300"/>
          <w:jc w:val="center"/>
        </w:trPr>
        <w:tc>
          <w:tcPr>
            <w:tcW w:w="5558" w:type="dxa"/>
            <w:gridSpan w:val="4"/>
            <w:tcBorders>
              <w:top w:val="nil"/>
              <w:left w:val="nil"/>
              <w:bottom w:val="single" w:sz="4" w:space="0" w:color="000000"/>
              <w:right w:val="nil"/>
            </w:tcBorders>
            <w:tcMar>
              <w:top w:w="15" w:type="dxa"/>
              <w:left w:w="15" w:type="dxa"/>
              <w:right w:w="15" w:type="dxa"/>
            </w:tcMar>
            <w:vAlign w:val="center"/>
          </w:tcPr>
          <w:p w:rsidR="00000000" w:rsidRDefault="009A1129">
            <w:pPr>
              <w:widowControl/>
              <w:jc w:val="center"/>
              <w:textAlignment w:val="center"/>
              <w:rPr>
                <w:rFonts w:ascii="楷体_GB2312" w:eastAsia="楷体_GB2312" w:hAnsi="楷体_GB2312" w:cs="楷体_GB2312"/>
                <w:b/>
                <w:sz w:val="28"/>
                <w:szCs w:val="28"/>
              </w:rPr>
            </w:pPr>
            <w:r>
              <w:rPr>
                <w:rFonts w:ascii="楷体_GB2312" w:eastAsia="楷体_GB2312" w:hAnsi="楷体_GB2312" w:cs="楷体_GB2312" w:hint="eastAsia"/>
                <w:b/>
                <w:kern w:val="0"/>
                <w:sz w:val="28"/>
                <w:szCs w:val="28"/>
              </w:rPr>
              <w:lastRenderedPageBreak/>
              <w:t>表</w:t>
            </w:r>
            <w:r>
              <w:rPr>
                <w:rFonts w:ascii="楷体_GB2312" w:eastAsia="楷体_GB2312" w:hAnsi="楷体_GB2312" w:cs="楷体_GB2312" w:hint="eastAsia"/>
                <w:b/>
                <w:kern w:val="0"/>
                <w:sz w:val="28"/>
                <w:szCs w:val="28"/>
              </w:rPr>
              <w:t xml:space="preserve">1-5  </w:t>
            </w:r>
            <w:r>
              <w:rPr>
                <w:rFonts w:ascii="楷体_GB2312" w:eastAsia="楷体_GB2312" w:hAnsi="楷体_GB2312" w:cs="楷体_GB2312" w:hint="eastAsia"/>
                <w:b/>
                <w:kern w:val="0"/>
                <w:sz w:val="28"/>
                <w:szCs w:val="28"/>
              </w:rPr>
              <w:t>各省市生源毕业生年终就业率统计表</w:t>
            </w:r>
          </w:p>
        </w:tc>
      </w:tr>
      <w:tr w:rsidR="00000000">
        <w:trPr>
          <w:trHeight w:val="300"/>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b/>
                <w:sz w:val="24"/>
                <w:szCs w:val="24"/>
              </w:rPr>
            </w:pPr>
            <w:r>
              <w:rPr>
                <w:rFonts w:ascii="楷体_GB2312" w:eastAsia="楷体_GB2312" w:hAnsi="楷体_GB2312" w:cs="楷体_GB2312" w:hint="eastAsia"/>
                <w:b/>
                <w:kern w:val="0"/>
                <w:sz w:val="24"/>
                <w:szCs w:val="24"/>
              </w:rPr>
              <w:t>序号</w:t>
            </w:r>
          </w:p>
        </w:tc>
        <w:tc>
          <w:tcPr>
            <w:tcW w:w="1225"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b/>
                <w:sz w:val="24"/>
                <w:szCs w:val="24"/>
              </w:rPr>
            </w:pPr>
            <w:r>
              <w:rPr>
                <w:rFonts w:ascii="楷体_GB2312" w:eastAsia="楷体_GB2312" w:hAnsi="楷体_GB2312" w:cs="楷体_GB2312" w:hint="eastAsia"/>
                <w:b/>
                <w:kern w:val="0"/>
                <w:sz w:val="24"/>
                <w:szCs w:val="24"/>
              </w:rPr>
              <w:t>省份</w:t>
            </w:r>
          </w:p>
        </w:tc>
        <w:tc>
          <w:tcPr>
            <w:tcW w:w="1515"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b/>
                <w:sz w:val="24"/>
                <w:szCs w:val="24"/>
              </w:rPr>
            </w:pPr>
            <w:r>
              <w:rPr>
                <w:rFonts w:ascii="楷体_GB2312" w:eastAsia="楷体_GB2312" w:hAnsi="楷体_GB2312" w:cs="楷体_GB2312" w:hint="eastAsia"/>
                <w:b/>
                <w:kern w:val="0"/>
                <w:sz w:val="24"/>
                <w:szCs w:val="24"/>
              </w:rPr>
              <w:t>毕业生人数</w:t>
            </w:r>
          </w:p>
        </w:tc>
        <w:tc>
          <w:tcPr>
            <w:tcW w:w="1738"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b/>
                <w:sz w:val="24"/>
                <w:szCs w:val="24"/>
              </w:rPr>
            </w:pPr>
            <w:r>
              <w:rPr>
                <w:rFonts w:ascii="楷体_GB2312" w:eastAsia="楷体_GB2312" w:hAnsi="楷体_GB2312" w:cs="楷体_GB2312" w:hint="eastAsia"/>
                <w:b/>
                <w:kern w:val="0"/>
                <w:sz w:val="24"/>
                <w:szCs w:val="24"/>
              </w:rPr>
              <w:t>就业率</w:t>
            </w:r>
          </w:p>
        </w:tc>
      </w:tr>
      <w:tr w:rsidR="00000000">
        <w:trPr>
          <w:trHeight w:val="300"/>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1</w:t>
            </w:r>
          </w:p>
        </w:tc>
        <w:tc>
          <w:tcPr>
            <w:tcW w:w="1225"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9A1129">
            <w:pPr>
              <w:widowControl/>
              <w:jc w:val="center"/>
              <w:textAlignment w:val="center"/>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江苏省</w:t>
            </w:r>
          </w:p>
        </w:tc>
        <w:tc>
          <w:tcPr>
            <w:tcW w:w="1515"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hint="eastAsia"/>
                <w:sz w:val="24"/>
                <w:szCs w:val="24"/>
              </w:rPr>
            </w:pPr>
            <w:r>
              <w:rPr>
                <w:rFonts w:ascii="楷体_GB2312" w:eastAsia="楷体_GB2312" w:hAnsi="楷体_GB2312" w:cs="楷体_GB2312" w:hint="eastAsia"/>
                <w:kern w:val="0"/>
                <w:sz w:val="24"/>
                <w:szCs w:val="24"/>
              </w:rPr>
              <w:t>1555</w:t>
            </w:r>
          </w:p>
        </w:tc>
        <w:tc>
          <w:tcPr>
            <w:tcW w:w="1738"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hint="eastAsia"/>
                <w:sz w:val="24"/>
                <w:szCs w:val="24"/>
              </w:rPr>
            </w:pPr>
            <w:r>
              <w:rPr>
                <w:rFonts w:ascii="楷体_GB2312" w:eastAsia="楷体_GB2312" w:hAnsi="楷体_GB2312" w:cs="楷体_GB2312" w:hint="eastAsia"/>
                <w:sz w:val="24"/>
                <w:szCs w:val="24"/>
              </w:rPr>
              <w:t>97.56%</w:t>
            </w:r>
          </w:p>
        </w:tc>
      </w:tr>
      <w:tr w:rsidR="00000000">
        <w:trPr>
          <w:trHeight w:val="300"/>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2</w:t>
            </w:r>
          </w:p>
        </w:tc>
        <w:tc>
          <w:tcPr>
            <w:tcW w:w="1225"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安徽省</w:t>
            </w:r>
          </w:p>
        </w:tc>
        <w:tc>
          <w:tcPr>
            <w:tcW w:w="1515"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hint="eastAsia"/>
                <w:sz w:val="24"/>
                <w:szCs w:val="24"/>
              </w:rPr>
            </w:pPr>
            <w:r>
              <w:rPr>
                <w:rFonts w:ascii="楷体_GB2312" w:eastAsia="楷体_GB2312" w:hAnsi="楷体_GB2312" w:cs="楷体_GB2312" w:hint="eastAsia"/>
                <w:sz w:val="24"/>
                <w:szCs w:val="24"/>
              </w:rPr>
              <w:t>51</w:t>
            </w:r>
          </w:p>
        </w:tc>
        <w:tc>
          <w:tcPr>
            <w:tcW w:w="1738"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hint="eastAsia"/>
                <w:sz w:val="24"/>
                <w:szCs w:val="24"/>
              </w:rPr>
            </w:pPr>
            <w:r>
              <w:rPr>
                <w:rFonts w:ascii="楷体_GB2312" w:eastAsia="楷体_GB2312" w:hAnsi="楷体_GB2312" w:cs="楷体_GB2312" w:hint="eastAsia"/>
                <w:sz w:val="24"/>
                <w:szCs w:val="24"/>
              </w:rPr>
              <w:t>100.00%</w:t>
            </w:r>
          </w:p>
        </w:tc>
      </w:tr>
      <w:tr w:rsidR="00000000">
        <w:trPr>
          <w:trHeight w:val="300"/>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3</w:t>
            </w:r>
          </w:p>
        </w:tc>
        <w:tc>
          <w:tcPr>
            <w:tcW w:w="1225"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福建省</w:t>
            </w:r>
          </w:p>
        </w:tc>
        <w:tc>
          <w:tcPr>
            <w:tcW w:w="1515"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hint="eastAsia"/>
                <w:sz w:val="24"/>
                <w:szCs w:val="24"/>
              </w:rPr>
            </w:pPr>
            <w:r>
              <w:rPr>
                <w:rFonts w:ascii="楷体_GB2312" w:eastAsia="楷体_GB2312" w:hAnsi="楷体_GB2312" w:cs="楷体_GB2312" w:hint="eastAsia"/>
                <w:sz w:val="24"/>
                <w:szCs w:val="24"/>
              </w:rPr>
              <w:t>20</w:t>
            </w:r>
          </w:p>
        </w:tc>
        <w:tc>
          <w:tcPr>
            <w:tcW w:w="1738"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hint="eastAsia"/>
                <w:sz w:val="24"/>
                <w:szCs w:val="24"/>
              </w:rPr>
            </w:pPr>
            <w:r>
              <w:rPr>
                <w:rFonts w:ascii="楷体_GB2312" w:eastAsia="楷体_GB2312" w:hAnsi="楷体_GB2312" w:cs="楷体_GB2312" w:hint="eastAsia"/>
                <w:sz w:val="24"/>
                <w:szCs w:val="24"/>
              </w:rPr>
              <w:t>100.00%</w:t>
            </w:r>
          </w:p>
        </w:tc>
      </w:tr>
      <w:tr w:rsidR="00000000">
        <w:trPr>
          <w:trHeight w:val="300"/>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4</w:t>
            </w:r>
          </w:p>
        </w:tc>
        <w:tc>
          <w:tcPr>
            <w:tcW w:w="1225"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广东省</w:t>
            </w:r>
          </w:p>
        </w:tc>
        <w:tc>
          <w:tcPr>
            <w:tcW w:w="1515"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hint="eastAsia"/>
                <w:sz w:val="24"/>
                <w:szCs w:val="24"/>
              </w:rPr>
            </w:pPr>
            <w:r>
              <w:rPr>
                <w:rFonts w:ascii="楷体_GB2312" w:eastAsia="楷体_GB2312" w:hAnsi="楷体_GB2312" w:cs="楷体_GB2312" w:hint="eastAsia"/>
                <w:sz w:val="24"/>
                <w:szCs w:val="24"/>
              </w:rPr>
              <w:t>1</w:t>
            </w:r>
          </w:p>
        </w:tc>
        <w:tc>
          <w:tcPr>
            <w:tcW w:w="1738"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hint="eastAsia"/>
                <w:sz w:val="24"/>
                <w:szCs w:val="24"/>
              </w:rPr>
            </w:pPr>
            <w:r>
              <w:rPr>
                <w:rFonts w:ascii="楷体_GB2312" w:eastAsia="楷体_GB2312" w:hAnsi="楷体_GB2312" w:cs="楷体_GB2312" w:hint="eastAsia"/>
                <w:sz w:val="24"/>
                <w:szCs w:val="24"/>
              </w:rPr>
              <w:t>100.00%</w:t>
            </w:r>
          </w:p>
        </w:tc>
      </w:tr>
      <w:tr w:rsidR="00000000">
        <w:trPr>
          <w:trHeight w:val="300"/>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hint="eastAsia"/>
                <w:sz w:val="24"/>
                <w:szCs w:val="24"/>
              </w:rPr>
            </w:pPr>
            <w:r>
              <w:rPr>
                <w:rFonts w:ascii="楷体_GB2312" w:eastAsia="楷体_GB2312" w:hAnsi="楷体_GB2312" w:cs="楷体_GB2312" w:hint="eastAsia"/>
                <w:kern w:val="0"/>
                <w:sz w:val="24"/>
                <w:szCs w:val="24"/>
              </w:rPr>
              <w:t>5</w:t>
            </w:r>
          </w:p>
        </w:tc>
        <w:tc>
          <w:tcPr>
            <w:tcW w:w="1225"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山东省</w:t>
            </w:r>
          </w:p>
        </w:tc>
        <w:tc>
          <w:tcPr>
            <w:tcW w:w="1515"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hint="eastAsia"/>
                <w:sz w:val="24"/>
                <w:szCs w:val="24"/>
              </w:rPr>
            </w:pPr>
            <w:r>
              <w:rPr>
                <w:rFonts w:ascii="楷体_GB2312" w:eastAsia="楷体_GB2312" w:hAnsi="楷体_GB2312" w:cs="楷体_GB2312" w:hint="eastAsia"/>
                <w:sz w:val="24"/>
                <w:szCs w:val="24"/>
              </w:rPr>
              <w:t>9</w:t>
            </w:r>
          </w:p>
        </w:tc>
        <w:tc>
          <w:tcPr>
            <w:tcW w:w="1738"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hint="eastAsia"/>
                <w:sz w:val="24"/>
                <w:szCs w:val="24"/>
              </w:rPr>
            </w:pPr>
            <w:r>
              <w:rPr>
                <w:rFonts w:ascii="楷体_GB2312" w:eastAsia="楷体_GB2312" w:hAnsi="楷体_GB2312" w:cs="楷体_GB2312" w:hint="eastAsia"/>
                <w:sz w:val="24"/>
                <w:szCs w:val="24"/>
              </w:rPr>
              <w:t>100.00%</w:t>
            </w:r>
          </w:p>
        </w:tc>
      </w:tr>
      <w:tr w:rsidR="00000000">
        <w:trPr>
          <w:trHeight w:val="300"/>
          <w:jc w:val="center"/>
        </w:trPr>
        <w:tc>
          <w:tcPr>
            <w:tcW w:w="1080" w:type="dxa"/>
            <w:tcBorders>
              <w:top w:val="nil"/>
              <w:left w:val="single" w:sz="4" w:space="0" w:color="000000"/>
              <w:bottom w:val="single" w:sz="4" w:space="0" w:color="auto"/>
              <w:right w:val="single" w:sz="4" w:space="0" w:color="000000"/>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hint="eastAsia"/>
                <w:sz w:val="24"/>
                <w:szCs w:val="24"/>
              </w:rPr>
            </w:pPr>
            <w:r>
              <w:rPr>
                <w:rFonts w:ascii="楷体_GB2312" w:eastAsia="楷体_GB2312" w:hAnsi="楷体_GB2312" w:cs="楷体_GB2312" w:hint="eastAsia"/>
                <w:kern w:val="0"/>
                <w:sz w:val="24"/>
                <w:szCs w:val="24"/>
              </w:rPr>
              <w:t>6</w:t>
            </w:r>
          </w:p>
        </w:tc>
        <w:tc>
          <w:tcPr>
            <w:tcW w:w="1225" w:type="dxa"/>
            <w:tcBorders>
              <w:top w:val="nil"/>
              <w:left w:val="nil"/>
              <w:bottom w:val="single" w:sz="4" w:space="0" w:color="auto"/>
              <w:right w:val="single" w:sz="4" w:space="0" w:color="000000"/>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上海市</w:t>
            </w:r>
          </w:p>
        </w:tc>
        <w:tc>
          <w:tcPr>
            <w:tcW w:w="1515" w:type="dxa"/>
            <w:tcBorders>
              <w:top w:val="nil"/>
              <w:left w:val="nil"/>
              <w:bottom w:val="single" w:sz="4" w:space="0" w:color="auto"/>
              <w:right w:val="single" w:sz="4" w:space="0" w:color="000000"/>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hint="eastAsia"/>
                <w:sz w:val="24"/>
                <w:szCs w:val="24"/>
              </w:rPr>
            </w:pPr>
            <w:r>
              <w:rPr>
                <w:rFonts w:ascii="楷体_GB2312" w:eastAsia="楷体_GB2312" w:hAnsi="楷体_GB2312" w:cs="楷体_GB2312" w:hint="eastAsia"/>
                <w:sz w:val="24"/>
                <w:szCs w:val="24"/>
              </w:rPr>
              <w:t>27</w:t>
            </w:r>
          </w:p>
        </w:tc>
        <w:tc>
          <w:tcPr>
            <w:tcW w:w="1738" w:type="dxa"/>
            <w:tcBorders>
              <w:top w:val="nil"/>
              <w:left w:val="nil"/>
              <w:bottom w:val="single" w:sz="4" w:space="0" w:color="auto"/>
              <w:right w:val="single" w:sz="4" w:space="0" w:color="000000"/>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hint="eastAsia"/>
                <w:sz w:val="24"/>
                <w:szCs w:val="24"/>
              </w:rPr>
            </w:pPr>
            <w:r>
              <w:rPr>
                <w:rFonts w:ascii="楷体_GB2312" w:eastAsia="楷体_GB2312" w:hAnsi="楷体_GB2312" w:cs="楷体_GB2312" w:hint="eastAsia"/>
                <w:sz w:val="24"/>
                <w:szCs w:val="24"/>
              </w:rPr>
              <w:t>100</w:t>
            </w:r>
            <w:r>
              <w:rPr>
                <w:rFonts w:ascii="楷体_GB2312" w:eastAsia="楷体_GB2312" w:hAnsi="楷体_GB2312" w:cs="楷体_GB2312" w:hint="eastAsia"/>
                <w:sz w:val="24"/>
                <w:szCs w:val="24"/>
              </w:rPr>
              <w:t>.00%</w:t>
            </w:r>
          </w:p>
        </w:tc>
      </w:tr>
      <w:tr w:rsidR="00000000">
        <w:trPr>
          <w:trHeight w:val="300"/>
          <w:jc w:val="center"/>
        </w:trPr>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hint="eastAsia"/>
                <w:sz w:val="24"/>
                <w:szCs w:val="24"/>
              </w:rPr>
            </w:pPr>
            <w:r>
              <w:rPr>
                <w:rFonts w:ascii="楷体_GB2312" w:eastAsia="楷体_GB2312" w:hAnsi="楷体_GB2312" w:cs="楷体_GB2312" w:hint="eastAsia"/>
                <w:kern w:val="0"/>
                <w:sz w:val="24"/>
                <w:szCs w:val="24"/>
              </w:rPr>
              <w:t>7</w:t>
            </w:r>
          </w:p>
        </w:tc>
        <w:tc>
          <w:tcPr>
            <w:tcW w:w="12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浙江省</w:t>
            </w:r>
          </w:p>
        </w:tc>
        <w:tc>
          <w:tcPr>
            <w:tcW w:w="1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hint="eastAsia"/>
                <w:sz w:val="24"/>
                <w:szCs w:val="24"/>
              </w:rPr>
            </w:pPr>
            <w:r>
              <w:rPr>
                <w:rFonts w:ascii="楷体_GB2312" w:eastAsia="楷体_GB2312" w:hAnsi="楷体_GB2312" w:cs="楷体_GB2312" w:hint="eastAsia"/>
                <w:kern w:val="0"/>
                <w:sz w:val="24"/>
                <w:szCs w:val="24"/>
              </w:rPr>
              <w:t>65</w:t>
            </w:r>
          </w:p>
        </w:tc>
        <w:tc>
          <w:tcPr>
            <w:tcW w:w="173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hint="eastAsia"/>
                <w:sz w:val="24"/>
                <w:szCs w:val="24"/>
              </w:rPr>
            </w:pPr>
            <w:r>
              <w:rPr>
                <w:rFonts w:ascii="楷体_GB2312" w:eastAsia="楷体_GB2312" w:hAnsi="楷体_GB2312" w:cs="楷体_GB2312" w:hint="eastAsia"/>
                <w:sz w:val="24"/>
                <w:szCs w:val="24"/>
              </w:rPr>
              <w:t>100.00%</w:t>
            </w:r>
          </w:p>
        </w:tc>
      </w:tr>
      <w:tr w:rsidR="00000000">
        <w:trPr>
          <w:trHeight w:val="300"/>
          <w:jc w:val="center"/>
        </w:trPr>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hint="eastAsia"/>
                <w:kern w:val="0"/>
                <w:sz w:val="24"/>
                <w:szCs w:val="24"/>
              </w:rPr>
            </w:pPr>
            <w:r>
              <w:rPr>
                <w:rFonts w:ascii="楷体_GB2312" w:eastAsia="楷体_GB2312" w:hAnsi="楷体_GB2312" w:cs="楷体_GB2312" w:hint="eastAsia"/>
                <w:kern w:val="0"/>
                <w:sz w:val="24"/>
                <w:szCs w:val="24"/>
              </w:rPr>
              <w:t>8</w:t>
            </w:r>
          </w:p>
        </w:tc>
        <w:tc>
          <w:tcPr>
            <w:tcW w:w="12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hint="eastAsia"/>
                <w:kern w:val="0"/>
                <w:sz w:val="24"/>
                <w:szCs w:val="24"/>
              </w:rPr>
            </w:pPr>
            <w:r>
              <w:rPr>
                <w:rFonts w:ascii="楷体_GB2312" w:eastAsia="楷体_GB2312" w:hAnsi="楷体_GB2312" w:cs="楷体_GB2312" w:hint="eastAsia"/>
                <w:kern w:val="0"/>
                <w:sz w:val="24"/>
                <w:szCs w:val="24"/>
              </w:rPr>
              <w:t>甘肃省</w:t>
            </w:r>
          </w:p>
        </w:tc>
        <w:tc>
          <w:tcPr>
            <w:tcW w:w="1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hint="eastAsia"/>
                <w:kern w:val="0"/>
                <w:sz w:val="24"/>
                <w:szCs w:val="24"/>
              </w:rPr>
            </w:pPr>
            <w:r>
              <w:rPr>
                <w:rFonts w:ascii="楷体_GB2312" w:eastAsia="楷体_GB2312" w:hAnsi="楷体_GB2312" w:cs="楷体_GB2312" w:hint="eastAsia"/>
                <w:kern w:val="0"/>
                <w:sz w:val="24"/>
                <w:szCs w:val="24"/>
              </w:rPr>
              <w:t>19</w:t>
            </w:r>
          </w:p>
        </w:tc>
        <w:tc>
          <w:tcPr>
            <w:tcW w:w="173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hint="eastAsia"/>
                <w:sz w:val="24"/>
                <w:szCs w:val="24"/>
              </w:rPr>
            </w:pPr>
            <w:r>
              <w:rPr>
                <w:rFonts w:ascii="楷体_GB2312" w:eastAsia="楷体_GB2312" w:hAnsi="楷体_GB2312" w:cs="楷体_GB2312" w:hint="eastAsia"/>
                <w:sz w:val="24"/>
                <w:szCs w:val="24"/>
              </w:rPr>
              <w:t>100.00%</w:t>
            </w:r>
          </w:p>
        </w:tc>
      </w:tr>
      <w:tr w:rsidR="00000000">
        <w:trPr>
          <w:trHeight w:val="300"/>
          <w:jc w:val="center"/>
        </w:trPr>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hint="eastAsia"/>
                <w:kern w:val="0"/>
                <w:sz w:val="24"/>
                <w:szCs w:val="24"/>
              </w:rPr>
            </w:pPr>
            <w:r>
              <w:rPr>
                <w:rFonts w:ascii="楷体_GB2312" w:eastAsia="楷体_GB2312" w:hAnsi="楷体_GB2312" w:cs="楷体_GB2312" w:hint="eastAsia"/>
                <w:kern w:val="0"/>
                <w:sz w:val="24"/>
                <w:szCs w:val="24"/>
              </w:rPr>
              <w:t>9</w:t>
            </w:r>
          </w:p>
        </w:tc>
        <w:tc>
          <w:tcPr>
            <w:tcW w:w="12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hint="eastAsia"/>
                <w:kern w:val="0"/>
                <w:sz w:val="24"/>
                <w:szCs w:val="24"/>
              </w:rPr>
            </w:pPr>
            <w:r>
              <w:rPr>
                <w:rFonts w:ascii="楷体_GB2312" w:eastAsia="楷体_GB2312" w:hAnsi="楷体_GB2312" w:cs="楷体_GB2312" w:hint="eastAsia"/>
                <w:kern w:val="0"/>
                <w:sz w:val="24"/>
                <w:szCs w:val="24"/>
              </w:rPr>
              <w:t>重庆市</w:t>
            </w:r>
          </w:p>
        </w:tc>
        <w:tc>
          <w:tcPr>
            <w:tcW w:w="1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hint="eastAsia"/>
                <w:kern w:val="0"/>
                <w:sz w:val="24"/>
                <w:szCs w:val="24"/>
              </w:rPr>
            </w:pPr>
            <w:r>
              <w:rPr>
                <w:rFonts w:ascii="楷体_GB2312" w:eastAsia="楷体_GB2312" w:hAnsi="楷体_GB2312" w:cs="楷体_GB2312" w:hint="eastAsia"/>
                <w:kern w:val="0"/>
                <w:sz w:val="24"/>
                <w:szCs w:val="24"/>
              </w:rPr>
              <w:t>8</w:t>
            </w:r>
          </w:p>
        </w:tc>
        <w:tc>
          <w:tcPr>
            <w:tcW w:w="173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hint="eastAsia"/>
                <w:sz w:val="24"/>
                <w:szCs w:val="24"/>
              </w:rPr>
            </w:pPr>
            <w:r>
              <w:rPr>
                <w:rFonts w:ascii="楷体_GB2312" w:eastAsia="楷体_GB2312" w:hAnsi="楷体_GB2312" w:cs="楷体_GB2312" w:hint="eastAsia"/>
                <w:sz w:val="24"/>
                <w:szCs w:val="24"/>
              </w:rPr>
              <w:t>100.00%</w:t>
            </w:r>
          </w:p>
        </w:tc>
      </w:tr>
      <w:tr w:rsidR="00000000">
        <w:trPr>
          <w:trHeight w:val="300"/>
          <w:jc w:val="center"/>
        </w:trPr>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hint="eastAsia"/>
                <w:kern w:val="0"/>
                <w:sz w:val="24"/>
                <w:szCs w:val="24"/>
              </w:rPr>
            </w:pPr>
            <w:r>
              <w:rPr>
                <w:rFonts w:ascii="楷体_GB2312" w:eastAsia="楷体_GB2312" w:hAnsi="楷体_GB2312" w:cs="楷体_GB2312" w:hint="eastAsia"/>
                <w:kern w:val="0"/>
                <w:sz w:val="24"/>
                <w:szCs w:val="24"/>
              </w:rPr>
              <w:t>10</w:t>
            </w:r>
          </w:p>
        </w:tc>
        <w:tc>
          <w:tcPr>
            <w:tcW w:w="12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hint="eastAsia"/>
                <w:kern w:val="0"/>
                <w:sz w:val="24"/>
                <w:szCs w:val="24"/>
              </w:rPr>
            </w:pPr>
            <w:r>
              <w:rPr>
                <w:rFonts w:ascii="楷体_GB2312" w:eastAsia="楷体_GB2312" w:hAnsi="楷体_GB2312" w:cs="楷体_GB2312" w:hint="eastAsia"/>
                <w:kern w:val="0"/>
                <w:sz w:val="24"/>
                <w:szCs w:val="24"/>
              </w:rPr>
              <w:t>四川省</w:t>
            </w:r>
          </w:p>
        </w:tc>
        <w:tc>
          <w:tcPr>
            <w:tcW w:w="1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hint="eastAsia"/>
                <w:kern w:val="0"/>
                <w:sz w:val="24"/>
                <w:szCs w:val="24"/>
              </w:rPr>
            </w:pPr>
            <w:r>
              <w:rPr>
                <w:rFonts w:ascii="楷体_GB2312" w:eastAsia="楷体_GB2312" w:hAnsi="楷体_GB2312" w:cs="楷体_GB2312" w:hint="eastAsia"/>
                <w:kern w:val="0"/>
                <w:sz w:val="24"/>
                <w:szCs w:val="24"/>
              </w:rPr>
              <w:t>20</w:t>
            </w:r>
          </w:p>
        </w:tc>
        <w:tc>
          <w:tcPr>
            <w:tcW w:w="173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hint="eastAsia"/>
                <w:sz w:val="24"/>
                <w:szCs w:val="24"/>
              </w:rPr>
            </w:pPr>
            <w:r>
              <w:rPr>
                <w:rFonts w:ascii="楷体_GB2312" w:eastAsia="楷体_GB2312" w:hAnsi="楷体_GB2312" w:cs="楷体_GB2312" w:hint="eastAsia"/>
                <w:sz w:val="24"/>
                <w:szCs w:val="24"/>
              </w:rPr>
              <w:t>100.00%</w:t>
            </w:r>
          </w:p>
        </w:tc>
      </w:tr>
      <w:tr w:rsidR="00000000">
        <w:trPr>
          <w:trHeight w:val="300"/>
          <w:jc w:val="center"/>
        </w:trPr>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hint="eastAsia"/>
                <w:kern w:val="0"/>
                <w:sz w:val="24"/>
                <w:szCs w:val="24"/>
              </w:rPr>
            </w:pPr>
            <w:r>
              <w:rPr>
                <w:rFonts w:ascii="楷体_GB2312" w:eastAsia="楷体_GB2312" w:hAnsi="楷体_GB2312" w:cs="楷体_GB2312" w:hint="eastAsia"/>
                <w:kern w:val="0"/>
                <w:sz w:val="24"/>
                <w:szCs w:val="24"/>
              </w:rPr>
              <w:t>11</w:t>
            </w:r>
          </w:p>
        </w:tc>
        <w:tc>
          <w:tcPr>
            <w:tcW w:w="12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hint="eastAsia"/>
                <w:kern w:val="0"/>
                <w:sz w:val="24"/>
                <w:szCs w:val="24"/>
              </w:rPr>
            </w:pPr>
            <w:r>
              <w:rPr>
                <w:rFonts w:ascii="楷体_GB2312" w:eastAsia="楷体_GB2312" w:hAnsi="楷体_GB2312" w:cs="楷体_GB2312" w:hint="eastAsia"/>
                <w:kern w:val="0"/>
                <w:sz w:val="24"/>
                <w:szCs w:val="24"/>
              </w:rPr>
              <w:t>广西省</w:t>
            </w:r>
          </w:p>
        </w:tc>
        <w:tc>
          <w:tcPr>
            <w:tcW w:w="1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hint="eastAsia"/>
                <w:kern w:val="0"/>
                <w:sz w:val="24"/>
                <w:szCs w:val="24"/>
              </w:rPr>
            </w:pPr>
            <w:r>
              <w:rPr>
                <w:rFonts w:ascii="楷体_GB2312" w:eastAsia="楷体_GB2312" w:hAnsi="楷体_GB2312" w:cs="楷体_GB2312" w:hint="eastAsia"/>
                <w:kern w:val="0"/>
                <w:sz w:val="24"/>
                <w:szCs w:val="24"/>
              </w:rPr>
              <w:t>24</w:t>
            </w:r>
          </w:p>
        </w:tc>
        <w:tc>
          <w:tcPr>
            <w:tcW w:w="173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hint="eastAsia"/>
                <w:sz w:val="24"/>
                <w:szCs w:val="24"/>
              </w:rPr>
            </w:pPr>
            <w:r>
              <w:rPr>
                <w:rFonts w:ascii="楷体_GB2312" w:eastAsia="楷体_GB2312" w:hAnsi="楷体_GB2312" w:cs="楷体_GB2312" w:hint="eastAsia"/>
                <w:sz w:val="24"/>
                <w:szCs w:val="24"/>
              </w:rPr>
              <w:t>100.00%</w:t>
            </w:r>
          </w:p>
        </w:tc>
      </w:tr>
      <w:tr w:rsidR="00000000">
        <w:trPr>
          <w:trHeight w:val="300"/>
          <w:jc w:val="center"/>
        </w:trPr>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hint="eastAsia"/>
                <w:kern w:val="0"/>
                <w:sz w:val="24"/>
                <w:szCs w:val="24"/>
              </w:rPr>
            </w:pPr>
            <w:r>
              <w:rPr>
                <w:rFonts w:ascii="楷体_GB2312" w:eastAsia="楷体_GB2312" w:hAnsi="楷体_GB2312" w:cs="楷体_GB2312" w:hint="eastAsia"/>
                <w:kern w:val="0"/>
                <w:sz w:val="24"/>
                <w:szCs w:val="24"/>
              </w:rPr>
              <w:t>12</w:t>
            </w:r>
          </w:p>
        </w:tc>
        <w:tc>
          <w:tcPr>
            <w:tcW w:w="12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hint="eastAsia"/>
                <w:kern w:val="0"/>
                <w:sz w:val="24"/>
                <w:szCs w:val="24"/>
              </w:rPr>
            </w:pPr>
            <w:r>
              <w:rPr>
                <w:rFonts w:ascii="楷体_GB2312" w:eastAsia="楷体_GB2312" w:hAnsi="楷体_GB2312" w:cs="楷体_GB2312" w:hint="eastAsia"/>
                <w:kern w:val="0"/>
                <w:sz w:val="24"/>
                <w:szCs w:val="24"/>
              </w:rPr>
              <w:t>山西省</w:t>
            </w:r>
          </w:p>
        </w:tc>
        <w:tc>
          <w:tcPr>
            <w:tcW w:w="1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hint="eastAsia"/>
                <w:kern w:val="0"/>
                <w:sz w:val="24"/>
                <w:szCs w:val="24"/>
              </w:rPr>
            </w:pPr>
            <w:r>
              <w:rPr>
                <w:rFonts w:ascii="楷体_GB2312" w:eastAsia="楷体_GB2312" w:hAnsi="楷体_GB2312" w:cs="楷体_GB2312" w:hint="eastAsia"/>
                <w:kern w:val="0"/>
                <w:sz w:val="24"/>
                <w:szCs w:val="24"/>
              </w:rPr>
              <w:t>10</w:t>
            </w:r>
          </w:p>
        </w:tc>
        <w:tc>
          <w:tcPr>
            <w:tcW w:w="173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hint="eastAsia"/>
                <w:sz w:val="24"/>
                <w:szCs w:val="24"/>
              </w:rPr>
            </w:pPr>
            <w:r>
              <w:rPr>
                <w:rFonts w:ascii="楷体_GB2312" w:eastAsia="楷体_GB2312" w:hAnsi="楷体_GB2312" w:cs="楷体_GB2312" w:hint="eastAsia"/>
                <w:sz w:val="24"/>
                <w:szCs w:val="24"/>
              </w:rPr>
              <w:t>100.00%</w:t>
            </w:r>
          </w:p>
        </w:tc>
      </w:tr>
      <w:tr w:rsidR="00000000">
        <w:trPr>
          <w:trHeight w:val="300"/>
          <w:jc w:val="center"/>
        </w:trPr>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hint="eastAsia"/>
                <w:kern w:val="0"/>
                <w:sz w:val="24"/>
                <w:szCs w:val="24"/>
              </w:rPr>
            </w:pPr>
            <w:r>
              <w:rPr>
                <w:rFonts w:ascii="楷体_GB2312" w:eastAsia="楷体_GB2312" w:hAnsi="楷体_GB2312" w:cs="楷体_GB2312" w:hint="eastAsia"/>
                <w:kern w:val="0"/>
                <w:sz w:val="24"/>
                <w:szCs w:val="24"/>
              </w:rPr>
              <w:t>13</w:t>
            </w:r>
          </w:p>
        </w:tc>
        <w:tc>
          <w:tcPr>
            <w:tcW w:w="12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hint="eastAsia"/>
                <w:kern w:val="0"/>
                <w:sz w:val="24"/>
                <w:szCs w:val="24"/>
              </w:rPr>
            </w:pPr>
            <w:r>
              <w:rPr>
                <w:rFonts w:ascii="楷体_GB2312" w:eastAsia="楷体_GB2312" w:hAnsi="楷体_GB2312" w:cs="楷体_GB2312" w:hint="eastAsia"/>
                <w:kern w:val="0"/>
                <w:sz w:val="24"/>
                <w:szCs w:val="24"/>
              </w:rPr>
              <w:t>湖北省</w:t>
            </w:r>
          </w:p>
        </w:tc>
        <w:tc>
          <w:tcPr>
            <w:tcW w:w="1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hint="eastAsia"/>
                <w:kern w:val="0"/>
                <w:sz w:val="24"/>
                <w:szCs w:val="24"/>
              </w:rPr>
            </w:pPr>
            <w:r>
              <w:rPr>
                <w:rFonts w:ascii="楷体_GB2312" w:eastAsia="楷体_GB2312" w:hAnsi="楷体_GB2312" w:cs="楷体_GB2312" w:hint="eastAsia"/>
                <w:kern w:val="0"/>
                <w:sz w:val="24"/>
                <w:szCs w:val="24"/>
              </w:rPr>
              <w:t>1</w:t>
            </w:r>
          </w:p>
        </w:tc>
        <w:tc>
          <w:tcPr>
            <w:tcW w:w="173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hint="eastAsia"/>
                <w:sz w:val="24"/>
                <w:szCs w:val="24"/>
              </w:rPr>
            </w:pPr>
            <w:r>
              <w:rPr>
                <w:rFonts w:ascii="楷体_GB2312" w:eastAsia="楷体_GB2312" w:hAnsi="楷体_GB2312" w:cs="楷体_GB2312" w:hint="eastAsia"/>
                <w:sz w:val="24"/>
                <w:szCs w:val="24"/>
              </w:rPr>
              <w:t>100.00%</w:t>
            </w:r>
          </w:p>
        </w:tc>
      </w:tr>
    </w:tbl>
    <w:p w:rsidR="00000000" w:rsidRDefault="009A1129">
      <w:pPr>
        <w:pStyle w:val="aa"/>
        <w:ind w:firstLineChars="200" w:firstLine="560"/>
        <w:rPr>
          <w:rFonts w:ascii="楷体_GB2312" w:eastAsia="楷体_GB2312" w:hAnsi="楷体_GB2312" w:cs="楷体_GB2312" w:hint="eastAsia"/>
          <w:sz w:val="28"/>
          <w:szCs w:val="28"/>
        </w:rPr>
      </w:pPr>
      <w:r>
        <w:rPr>
          <w:rFonts w:ascii="楷体_GB2312" w:eastAsia="楷体_GB2312" w:hAnsi="楷体_GB2312" w:cs="楷体_GB2312" w:hint="eastAsia"/>
          <w:sz w:val="28"/>
          <w:szCs w:val="28"/>
        </w:rPr>
        <w:t>在江苏省</w:t>
      </w:r>
      <w:r>
        <w:rPr>
          <w:rFonts w:ascii="楷体_GB2312" w:eastAsia="楷体_GB2312" w:hAnsi="楷体_GB2312" w:cs="楷体_GB2312" w:hint="eastAsia"/>
          <w:sz w:val="28"/>
          <w:szCs w:val="28"/>
        </w:rPr>
        <w:t>13</w:t>
      </w:r>
      <w:r>
        <w:rPr>
          <w:rFonts w:ascii="楷体_GB2312" w:eastAsia="楷体_GB2312" w:hAnsi="楷体_GB2312" w:cs="楷体_GB2312" w:hint="eastAsia"/>
          <w:sz w:val="28"/>
          <w:szCs w:val="28"/>
        </w:rPr>
        <w:t>个地级市中，南京、宿迁、无锡</w:t>
      </w:r>
      <w:r>
        <w:rPr>
          <w:rFonts w:ascii="楷体_GB2312" w:eastAsia="楷体_GB2312" w:hAnsi="楷体_GB2312" w:cs="楷体_GB2312" w:hint="eastAsia"/>
          <w:sz w:val="28"/>
          <w:szCs w:val="28"/>
        </w:rPr>
        <w:t>3</w:t>
      </w:r>
      <w:r>
        <w:rPr>
          <w:rFonts w:ascii="楷体_GB2312" w:eastAsia="楷体_GB2312" w:hAnsi="楷体_GB2312" w:cs="楷体_GB2312" w:hint="eastAsia"/>
          <w:sz w:val="28"/>
          <w:szCs w:val="28"/>
        </w:rPr>
        <w:t>个市生源的毕业生就业率均为</w:t>
      </w:r>
      <w:r>
        <w:rPr>
          <w:rFonts w:ascii="楷体_GB2312" w:eastAsia="楷体_GB2312" w:hAnsi="楷体_GB2312" w:cs="楷体_GB2312" w:hint="eastAsia"/>
          <w:sz w:val="28"/>
          <w:szCs w:val="28"/>
        </w:rPr>
        <w:t>100%</w:t>
      </w:r>
      <w:r>
        <w:rPr>
          <w:rFonts w:ascii="楷体_GB2312" w:eastAsia="楷体_GB2312" w:hAnsi="楷体_GB2312" w:cs="楷体_GB2312" w:hint="eastAsia"/>
          <w:sz w:val="28"/>
          <w:szCs w:val="28"/>
        </w:rPr>
        <w:t>，占地级市总数的</w:t>
      </w:r>
      <w:r>
        <w:rPr>
          <w:rFonts w:ascii="楷体_GB2312" w:eastAsia="楷体_GB2312" w:hAnsi="楷体_GB2312" w:cs="楷体_GB2312" w:hint="eastAsia"/>
          <w:sz w:val="28"/>
          <w:szCs w:val="28"/>
        </w:rPr>
        <w:t>23%</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见表</w:t>
      </w:r>
      <w:r>
        <w:rPr>
          <w:rFonts w:ascii="楷体_GB2312" w:eastAsia="楷体_GB2312" w:hAnsi="楷体_GB2312" w:cs="楷体_GB2312" w:hint="eastAsia"/>
          <w:sz w:val="28"/>
          <w:szCs w:val="28"/>
        </w:rPr>
        <w:t>1-6</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w:t>
      </w:r>
    </w:p>
    <w:tbl>
      <w:tblPr>
        <w:tblW w:w="0" w:type="auto"/>
        <w:jc w:val="center"/>
        <w:tblInd w:w="0" w:type="dxa"/>
        <w:tblLayout w:type="fixed"/>
        <w:tblCellMar>
          <w:left w:w="0" w:type="dxa"/>
          <w:right w:w="0" w:type="dxa"/>
        </w:tblCellMar>
        <w:tblLook w:val="0000"/>
      </w:tblPr>
      <w:tblGrid>
        <w:gridCol w:w="1080"/>
        <w:gridCol w:w="1080"/>
        <w:gridCol w:w="1800"/>
        <w:gridCol w:w="1080"/>
      </w:tblGrid>
      <w:tr w:rsidR="00000000">
        <w:trPr>
          <w:trHeight w:val="478"/>
          <w:jc w:val="center"/>
        </w:trPr>
        <w:tc>
          <w:tcPr>
            <w:tcW w:w="5040" w:type="dxa"/>
            <w:gridSpan w:val="4"/>
            <w:tcBorders>
              <w:top w:val="nil"/>
              <w:left w:val="nil"/>
              <w:bottom w:val="single" w:sz="4" w:space="0" w:color="000000"/>
              <w:right w:val="nil"/>
            </w:tcBorders>
            <w:tcMar>
              <w:top w:w="15" w:type="dxa"/>
              <w:left w:w="15" w:type="dxa"/>
              <w:right w:w="15" w:type="dxa"/>
            </w:tcMar>
            <w:vAlign w:val="center"/>
          </w:tcPr>
          <w:p w:rsidR="00000000" w:rsidRDefault="009A1129">
            <w:pPr>
              <w:widowControl/>
              <w:jc w:val="center"/>
              <w:textAlignment w:val="center"/>
              <w:rPr>
                <w:rFonts w:ascii="楷体_GB2312" w:eastAsia="楷体_GB2312" w:hAnsi="楷体_GB2312" w:cs="楷体_GB2312"/>
                <w:b/>
                <w:sz w:val="28"/>
                <w:szCs w:val="28"/>
              </w:rPr>
            </w:pPr>
            <w:r>
              <w:rPr>
                <w:rFonts w:ascii="楷体_GB2312" w:eastAsia="楷体_GB2312" w:hAnsi="楷体_GB2312" w:cs="楷体_GB2312" w:hint="eastAsia"/>
                <w:b/>
                <w:kern w:val="0"/>
                <w:sz w:val="28"/>
                <w:szCs w:val="28"/>
              </w:rPr>
              <w:t>表</w:t>
            </w:r>
            <w:r>
              <w:rPr>
                <w:rFonts w:ascii="楷体_GB2312" w:eastAsia="楷体_GB2312" w:hAnsi="楷体_GB2312" w:cs="楷体_GB2312" w:hint="eastAsia"/>
                <w:b/>
                <w:kern w:val="0"/>
                <w:sz w:val="28"/>
                <w:szCs w:val="28"/>
              </w:rPr>
              <w:t xml:space="preserve">1-6  </w:t>
            </w:r>
            <w:r>
              <w:rPr>
                <w:rFonts w:ascii="楷体_GB2312" w:eastAsia="楷体_GB2312" w:hAnsi="楷体_GB2312" w:cs="楷体_GB2312" w:hint="eastAsia"/>
                <w:b/>
                <w:kern w:val="0"/>
                <w:sz w:val="28"/>
                <w:szCs w:val="28"/>
              </w:rPr>
              <w:t>江苏省各市毕业生就业率统计</w:t>
            </w:r>
          </w:p>
        </w:tc>
      </w:tr>
      <w:tr w:rsidR="00000000">
        <w:trPr>
          <w:trHeight w:val="285"/>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b/>
                <w:sz w:val="24"/>
                <w:szCs w:val="24"/>
              </w:rPr>
            </w:pPr>
            <w:r>
              <w:rPr>
                <w:rFonts w:ascii="楷体_GB2312" w:eastAsia="楷体_GB2312" w:hAnsi="楷体_GB2312" w:cs="楷体_GB2312" w:hint="eastAsia"/>
                <w:b/>
                <w:kern w:val="0"/>
                <w:sz w:val="24"/>
                <w:szCs w:val="24"/>
              </w:rPr>
              <w:t>序号</w:t>
            </w:r>
          </w:p>
        </w:tc>
        <w:tc>
          <w:tcPr>
            <w:tcW w:w="1080"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b/>
                <w:sz w:val="24"/>
                <w:szCs w:val="24"/>
              </w:rPr>
            </w:pPr>
            <w:r>
              <w:rPr>
                <w:rFonts w:ascii="楷体_GB2312" w:eastAsia="楷体_GB2312" w:hAnsi="楷体_GB2312" w:cs="楷体_GB2312" w:hint="eastAsia"/>
                <w:b/>
                <w:kern w:val="0"/>
                <w:sz w:val="24"/>
                <w:szCs w:val="24"/>
              </w:rPr>
              <w:t>辖市</w:t>
            </w:r>
          </w:p>
        </w:tc>
        <w:tc>
          <w:tcPr>
            <w:tcW w:w="1800"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b/>
                <w:sz w:val="24"/>
                <w:szCs w:val="24"/>
              </w:rPr>
            </w:pPr>
            <w:r>
              <w:rPr>
                <w:rFonts w:ascii="楷体_GB2312" w:eastAsia="楷体_GB2312" w:hAnsi="楷体_GB2312" w:cs="楷体_GB2312" w:hint="eastAsia"/>
                <w:b/>
                <w:kern w:val="0"/>
                <w:sz w:val="24"/>
                <w:szCs w:val="24"/>
              </w:rPr>
              <w:t>本科生人数</w:t>
            </w:r>
          </w:p>
        </w:tc>
        <w:tc>
          <w:tcPr>
            <w:tcW w:w="1080" w:type="dxa"/>
            <w:tcBorders>
              <w:top w:val="nil"/>
              <w:left w:val="nil"/>
              <w:bottom w:val="single" w:sz="4" w:space="0" w:color="000000"/>
              <w:right w:val="single" w:sz="4" w:space="0" w:color="000000"/>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b/>
                <w:sz w:val="24"/>
                <w:szCs w:val="24"/>
              </w:rPr>
            </w:pPr>
            <w:r>
              <w:rPr>
                <w:rFonts w:ascii="楷体_GB2312" w:eastAsia="楷体_GB2312" w:hAnsi="楷体_GB2312" w:cs="楷体_GB2312" w:hint="eastAsia"/>
                <w:b/>
                <w:kern w:val="0"/>
                <w:sz w:val="24"/>
                <w:szCs w:val="24"/>
              </w:rPr>
              <w:t>就业率</w:t>
            </w:r>
          </w:p>
        </w:tc>
      </w:tr>
      <w:tr w:rsidR="00000000">
        <w:trPr>
          <w:trHeight w:val="285"/>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1</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9A1129">
            <w:pPr>
              <w:widowControl/>
              <w:jc w:val="center"/>
              <w:textAlignment w:val="bottom"/>
              <w:rPr>
                <w:rFonts w:ascii="楷体_GB2312" w:eastAsia="楷体_GB2312" w:hAnsi="楷体_GB2312" w:cs="楷体_GB2312" w:hint="eastAsia"/>
                <w:kern w:val="0"/>
                <w:sz w:val="24"/>
                <w:szCs w:val="24"/>
              </w:rPr>
            </w:pPr>
            <w:r>
              <w:rPr>
                <w:rFonts w:ascii="楷体_GB2312" w:eastAsia="楷体_GB2312" w:hAnsi="楷体_GB2312" w:cs="楷体_GB2312"/>
                <w:kern w:val="0"/>
                <w:sz w:val="24"/>
                <w:szCs w:val="24"/>
              </w:rPr>
              <w:t>常州市</w:t>
            </w:r>
          </w:p>
        </w:tc>
        <w:tc>
          <w:tcPr>
            <w:tcW w:w="180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9A1129">
            <w:pPr>
              <w:widowControl/>
              <w:jc w:val="center"/>
              <w:textAlignment w:val="bottom"/>
              <w:rPr>
                <w:rFonts w:ascii="楷体_GB2312" w:eastAsia="楷体_GB2312" w:hAnsi="楷体_GB2312" w:cs="楷体_GB2312" w:hint="eastAsia"/>
                <w:kern w:val="0"/>
                <w:sz w:val="24"/>
                <w:szCs w:val="24"/>
              </w:rPr>
            </w:pPr>
            <w:r>
              <w:rPr>
                <w:rFonts w:ascii="楷体_GB2312" w:eastAsia="楷体_GB2312" w:hAnsi="楷体_GB2312" w:cs="楷体_GB2312" w:hint="eastAsia"/>
                <w:kern w:val="0"/>
                <w:sz w:val="24"/>
                <w:szCs w:val="24"/>
              </w:rPr>
              <w:t>60</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9A1129">
            <w:pPr>
              <w:widowControl/>
              <w:jc w:val="center"/>
              <w:textAlignment w:val="center"/>
              <w:rPr>
                <w:rFonts w:ascii="楷体_GB2312" w:eastAsia="楷体_GB2312" w:hAnsi="楷体_GB2312" w:cs="楷体_GB2312" w:hint="eastAsia"/>
                <w:sz w:val="24"/>
                <w:szCs w:val="24"/>
              </w:rPr>
            </w:pPr>
            <w:r>
              <w:rPr>
                <w:rFonts w:ascii="楷体_GB2312" w:eastAsia="楷体_GB2312" w:hAnsi="楷体_GB2312" w:cs="楷体_GB2312" w:hint="eastAsia"/>
                <w:sz w:val="24"/>
                <w:szCs w:val="24"/>
              </w:rPr>
              <w:t>96.67%</w:t>
            </w:r>
          </w:p>
        </w:tc>
      </w:tr>
      <w:tr w:rsidR="00000000">
        <w:trPr>
          <w:trHeight w:val="285"/>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2</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9A1129">
            <w:pPr>
              <w:widowControl/>
              <w:jc w:val="center"/>
              <w:textAlignment w:val="bottom"/>
              <w:rPr>
                <w:rFonts w:ascii="楷体_GB2312" w:eastAsia="楷体_GB2312" w:hAnsi="楷体_GB2312" w:cs="楷体_GB2312" w:hint="eastAsia"/>
                <w:kern w:val="0"/>
                <w:sz w:val="24"/>
                <w:szCs w:val="24"/>
              </w:rPr>
            </w:pPr>
            <w:r>
              <w:rPr>
                <w:rFonts w:ascii="楷体_GB2312" w:eastAsia="楷体_GB2312" w:hAnsi="楷体_GB2312" w:cs="楷体_GB2312"/>
                <w:kern w:val="0"/>
                <w:sz w:val="24"/>
                <w:szCs w:val="24"/>
              </w:rPr>
              <w:t>淮安市</w:t>
            </w:r>
          </w:p>
        </w:tc>
        <w:tc>
          <w:tcPr>
            <w:tcW w:w="180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9A1129">
            <w:pPr>
              <w:widowControl/>
              <w:jc w:val="center"/>
              <w:textAlignment w:val="bottom"/>
              <w:rPr>
                <w:rFonts w:ascii="楷体_GB2312" w:eastAsia="楷体_GB2312" w:hAnsi="楷体_GB2312" w:cs="楷体_GB2312" w:hint="eastAsia"/>
                <w:kern w:val="0"/>
                <w:sz w:val="24"/>
                <w:szCs w:val="24"/>
              </w:rPr>
            </w:pPr>
            <w:r>
              <w:rPr>
                <w:rFonts w:ascii="楷体_GB2312" w:eastAsia="楷体_GB2312" w:hAnsi="楷体_GB2312" w:cs="楷体_GB2312" w:hint="eastAsia"/>
                <w:kern w:val="0"/>
                <w:sz w:val="24"/>
                <w:szCs w:val="24"/>
              </w:rPr>
              <w:t>59</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9A1129">
            <w:pPr>
              <w:widowControl/>
              <w:jc w:val="center"/>
              <w:textAlignment w:val="center"/>
              <w:rPr>
                <w:rFonts w:ascii="楷体_GB2312" w:eastAsia="楷体_GB2312" w:hAnsi="楷体_GB2312" w:cs="楷体_GB2312" w:hint="eastAsia"/>
                <w:sz w:val="24"/>
                <w:szCs w:val="24"/>
              </w:rPr>
            </w:pPr>
            <w:r>
              <w:rPr>
                <w:rFonts w:ascii="楷体_GB2312" w:eastAsia="楷体_GB2312" w:hAnsi="楷体_GB2312" w:cs="楷体_GB2312" w:hint="eastAsia"/>
                <w:sz w:val="24"/>
                <w:szCs w:val="24"/>
              </w:rPr>
              <w:t>98.31%</w:t>
            </w:r>
          </w:p>
        </w:tc>
      </w:tr>
      <w:tr w:rsidR="00000000">
        <w:trPr>
          <w:trHeight w:val="285"/>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3</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9A1129">
            <w:pPr>
              <w:widowControl/>
              <w:jc w:val="center"/>
              <w:textAlignment w:val="bottom"/>
              <w:rPr>
                <w:rFonts w:ascii="楷体_GB2312" w:eastAsia="楷体_GB2312" w:hAnsi="楷体_GB2312" w:cs="楷体_GB2312" w:hint="eastAsia"/>
                <w:kern w:val="0"/>
                <w:sz w:val="24"/>
                <w:szCs w:val="24"/>
              </w:rPr>
            </w:pPr>
            <w:r>
              <w:rPr>
                <w:rFonts w:ascii="楷体_GB2312" w:eastAsia="楷体_GB2312" w:hAnsi="楷体_GB2312" w:cs="楷体_GB2312"/>
                <w:kern w:val="0"/>
                <w:sz w:val="24"/>
                <w:szCs w:val="24"/>
              </w:rPr>
              <w:t>连云港</w:t>
            </w:r>
          </w:p>
        </w:tc>
        <w:tc>
          <w:tcPr>
            <w:tcW w:w="180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9A1129">
            <w:pPr>
              <w:widowControl/>
              <w:jc w:val="center"/>
              <w:textAlignment w:val="bottom"/>
              <w:rPr>
                <w:rFonts w:ascii="楷体_GB2312" w:eastAsia="楷体_GB2312" w:hAnsi="楷体_GB2312" w:cs="楷体_GB2312" w:hint="eastAsia"/>
                <w:kern w:val="0"/>
                <w:sz w:val="24"/>
                <w:szCs w:val="24"/>
              </w:rPr>
            </w:pPr>
            <w:r>
              <w:rPr>
                <w:rFonts w:ascii="楷体_GB2312" w:eastAsia="楷体_GB2312" w:hAnsi="楷体_GB2312" w:cs="楷体_GB2312" w:hint="eastAsia"/>
                <w:kern w:val="0"/>
                <w:sz w:val="24"/>
                <w:szCs w:val="24"/>
              </w:rPr>
              <w:t>36</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9A1129">
            <w:pPr>
              <w:widowControl/>
              <w:jc w:val="center"/>
              <w:textAlignment w:val="center"/>
              <w:rPr>
                <w:rFonts w:ascii="楷体_GB2312" w:eastAsia="楷体_GB2312" w:hAnsi="楷体_GB2312" w:cs="楷体_GB2312" w:hint="eastAsia"/>
                <w:sz w:val="24"/>
                <w:szCs w:val="24"/>
              </w:rPr>
            </w:pPr>
            <w:r>
              <w:rPr>
                <w:rFonts w:ascii="楷体_GB2312" w:eastAsia="楷体_GB2312" w:hAnsi="楷体_GB2312" w:cs="楷体_GB2312" w:hint="eastAsia"/>
                <w:sz w:val="24"/>
                <w:szCs w:val="24"/>
              </w:rPr>
              <w:t>97.22%</w:t>
            </w:r>
          </w:p>
        </w:tc>
      </w:tr>
      <w:tr w:rsidR="00000000">
        <w:trPr>
          <w:trHeight w:val="285"/>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4</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9A1129">
            <w:pPr>
              <w:widowControl/>
              <w:jc w:val="center"/>
              <w:textAlignment w:val="bottom"/>
              <w:rPr>
                <w:rFonts w:ascii="楷体_GB2312" w:eastAsia="楷体_GB2312" w:hAnsi="楷体_GB2312" w:cs="楷体_GB2312" w:hint="eastAsia"/>
                <w:kern w:val="0"/>
                <w:sz w:val="24"/>
                <w:szCs w:val="24"/>
              </w:rPr>
            </w:pPr>
            <w:r>
              <w:rPr>
                <w:rFonts w:ascii="楷体_GB2312" w:eastAsia="楷体_GB2312" w:hAnsi="楷体_GB2312" w:cs="楷体_GB2312"/>
                <w:kern w:val="0"/>
                <w:sz w:val="24"/>
                <w:szCs w:val="24"/>
              </w:rPr>
              <w:t>南京市</w:t>
            </w:r>
          </w:p>
        </w:tc>
        <w:tc>
          <w:tcPr>
            <w:tcW w:w="180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9A1129">
            <w:pPr>
              <w:widowControl/>
              <w:jc w:val="center"/>
              <w:textAlignment w:val="bottom"/>
              <w:rPr>
                <w:rFonts w:ascii="楷体_GB2312" w:eastAsia="楷体_GB2312" w:hAnsi="楷体_GB2312" w:cs="楷体_GB2312" w:hint="eastAsia"/>
                <w:kern w:val="0"/>
                <w:sz w:val="24"/>
                <w:szCs w:val="24"/>
              </w:rPr>
            </w:pPr>
            <w:r>
              <w:rPr>
                <w:rFonts w:ascii="楷体_GB2312" w:eastAsia="楷体_GB2312" w:hAnsi="楷体_GB2312" w:cs="楷体_GB2312" w:hint="eastAsia"/>
                <w:kern w:val="0"/>
                <w:sz w:val="24"/>
                <w:szCs w:val="24"/>
              </w:rPr>
              <w:t>34</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9A1129">
            <w:pPr>
              <w:widowControl/>
              <w:jc w:val="center"/>
              <w:textAlignment w:val="center"/>
              <w:rPr>
                <w:rFonts w:ascii="楷体_GB2312" w:eastAsia="楷体_GB2312" w:hAnsi="楷体_GB2312" w:cs="楷体_GB2312" w:hint="eastAsia"/>
                <w:sz w:val="24"/>
                <w:szCs w:val="24"/>
              </w:rPr>
            </w:pPr>
            <w:r>
              <w:rPr>
                <w:rFonts w:ascii="楷体_GB2312" w:eastAsia="楷体_GB2312" w:hAnsi="楷体_GB2312" w:cs="楷体_GB2312" w:hint="eastAsia"/>
                <w:sz w:val="24"/>
                <w:szCs w:val="24"/>
              </w:rPr>
              <w:t>100.00%</w:t>
            </w:r>
          </w:p>
        </w:tc>
      </w:tr>
      <w:tr w:rsidR="00000000">
        <w:trPr>
          <w:trHeight w:val="285"/>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5</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9A1129">
            <w:pPr>
              <w:widowControl/>
              <w:jc w:val="center"/>
              <w:textAlignment w:val="bottom"/>
              <w:rPr>
                <w:rFonts w:ascii="楷体_GB2312" w:eastAsia="楷体_GB2312" w:hAnsi="楷体_GB2312" w:cs="楷体_GB2312" w:hint="eastAsia"/>
                <w:kern w:val="0"/>
                <w:sz w:val="24"/>
                <w:szCs w:val="24"/>
              </w:rPr>
            </w:pPr>
            <w:r>
              <w:rPr>
                <w:rFonts w:ascii="楷体_GB2312" w:eastAsia="楷体_GB2312" w:hAnsi="楷体_GB2312" w:cs="楷体_GB2312"/>
                <w:kern w:val="0"/>
                <w:sz w:val="24"/>
                <w:szCs w:val="24"/>
              </w:rPr>
              <w:t>南通市</w:t>
            </w:r>
          </w:p>
        </w:tc>
        <w:tc>
          <w:tcPr>
            <w:tcW w:w="180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9A1129">
            <w:pPr>
              <w:widowControl/>
              <w:jc w:val="center"/>
              <w:textAlignment w:val="bottom"/>
              <w:rPr>
                <w:rFonts w:ascii="楷体_GB2312" w:eastAsia="楷体_GB2312" w:hAnsi="楷体_GB2312" w:cs="楷体_GB2312" w:hint="eastAsia"/>
                <w:kern w:val="0"/>
                <w:sz w:val="24"/>
                <w:szCs w:val="24"/>
              </w:rPr>
            </w:pPr>
            <w:r>
              <w:rPr>
                <w:rFonts w:ascii="楷体_GB2312" w:eastAsia="楷体_GB2312" w:hAnsi="楷体_GB2312" w:cs="楷体_GB2312" w:hint="eastAsia"/>
                <w:kern w:val="0"/>
                <w:sz w:val="24"/>
                <w:szCs w:val="24"/>
              </w:rPr>
              <w:t>499</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9A1129">
            <w:pPr>
              <w:widowControl/>
              <w:jc w:val="center"/>
              <w:textAlignment w:val="center"/>
              <w:rPr>
                <w:rFonts w:ascii="楷体_GB2312" w:eastAsia="楷体_GB2312" w:hAnsi="楷体_GB2312" w:cs="楷体_GB2312" w:hint="eastAsia"/>
                <w:sz w:val="24"/>
                <w:szCs w:val="24"/>
              </w:rPr>
            </w:pPr>
            <w:r>
              <w:rPr>
                <w:rFonts w:ascii="楷体_GB2312" w:eastAsia="楷体_GB2312" w:hAnsi="楷体_GB2312" w:cs="楷体_GB2312" w:hint="eastAsia"/>
                <w:sz w:val="24"/>
                <w:szCs w:val="24"/>
              </w:rPr>
              <w:t>99.00%</w:t>
            </w:r>
          </w:p>
        </w:tc>
      </w:tr>
      <w:tr w:rsidR="00000000">
        <w:trPr>
          <w:trHeight w:val="285"/>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6</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9A1129">
            <w:pPr>
              <w:widowControl/>
              <w:jc w:val="center"/>
              <w:textAlignment w:val="bottom"/>
              <w:rPr>
                <w:rFonts w:ascii="楷体_GB2312" w:eastAsia="楷体_GB2312" w:hAnsi="楷体_GB2312" w:cs="楷体_GB2312" w:hint="eastAsia"/>
                <w:kern w:val="0"/>
                <w:sz w:val="24"/>
                <w:szCs w:val="24"/>
              </w:rPr>
            </w:pPr>
            <w:r>
              <w:rPr>
                <w:rFonts w:ascii="楷体_GB2312" w:eastAsia="楷体_GB2312" w:hAnsi="楷体_GB2312" w:cs="楷体_GB2312"/>
                <w:kern w:val="0"/>
                <w:sz w:val="24"/>
                <w:szCs w:val="24"/>
              </w:rPr>
              <w:t>苏州市</w:t>
            </w:r>
          </w:p>
        </w:tc>
        <w:tc>
          <w:tcPr>
            <w:tcW w:w="180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9A1129">
            <w:pPr>
              <w:widowControl/>
              <w:jc w:val="center"/>
              <w:textAlignment w:val="bottom"/>
              <w:rPr>
                <w:rFonts w:ascii="楷体_GB2312" w:eastAsia="楷体_GB2312" w:hAnsi="楷体_GB2312" w:cs="楷体_GB2312" w:hint="eastAsia"/>
                <w:kern w:val="0"/>
                <w:sz w:val="24"/>
                <w:szCs w:val="24"/>
              </w:rPr>
            </w:pPr>
            <w:r>
              <w:rPr>
                <w:rFonts w:ascii="楷体_GB2312" w:eastAsia="楷体_GB2312" w:hAnsi="楷体_GB2312" w:cs="楷体_GB2312" w:hint="eastAsia"/>
                <w:kern w:val="0"/>
                <w:sz w:val="24"/>
                <w:szCs w:val="24"/>
              </w:rPr>
              <w:t>247</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9A1129">
            <w:pPr>
              <w:widowControl/>
              <w:jc w:val="center"/>
              <w:textAlignment w:val="center"/>
              <w:rPr>
                <w:rFonts w:ascii="楷体_GB2312" w:eastAsia="楷体_GB2312" w:hAnsi="楷体_GB2312" w:cs="楷体_GB2312" w:hint="eastAsia"/>
                <w:sz w:val="24"/>
                <w:szCs w:val="24"/>
              </w:rPr>
            </w:pPr>
            <w:r>
              <w:rPr>
                <w:rFonts w:ascii="楷体_GB2312" w:eastAsia="楷体_GB2312" w:hAnsi="楷体_GB2312" w:cs="楷体_GB2312" w:hint="eastAsia"/>
                <w:sz w:val="24"/>
                <w:szCs w:val="24"/>
              </w:rPr>
              <w:t>92.71%</w:t>
            </w:r>
          </w:p>
        </w:tc>
      </w:tr>
      <w:tr w:rsidR="00000000">
        <w:trPr>
          <w:trHeight w:val="285"/>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7</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9A1129">
            <w:pPr>
              <w:widowControl/>
              <w:jc w:val="center"/>
              <w:textAlignment w:val="bottom"/>
              <w:rPr>
                <w:rFonts w:ascii="楷体_GB2312" w:eastAsia="楷体_GB2312" w:hAnsi="楷体_GB2312" w:cs="楷体_GB2312" w:hint="eastAsia"/>
                <w:kern w:val="0"/>
                <w:sz w:val="24"/>
                <w:szCs w:val="24"/>
              </w:rPr>
            </w:pPr>
            <w:r>
              <w:rPr>
                <w:rFonts w:ascii="楷体_GB2312" w:eastAsia="楷体_GB2312" w:hAnsi="楷体_GB2312" w:cs="楷体_GB2312"/>
                <w:kern w:val="0"/>
                <w:sz w:val="24"/>
                <w:szCs w:val="24"/>
              </w:rPr>
              <w:t>宿迁市</w:t>
            </w:r>
          </w:p>
        </w:tc>
        <w:tc>
          <w:tcPr>
            <w:tcW w:w="180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9A1129">
            <w:pPr>
              <w:widowControl/>
              <w:jc w:val="center"/>
              <w:textAlignment w:val="bottom"/>
              <w:rPr>
                <w:rFonts w:ascii="楷体_GB2312" w:eastAsia="楷体_GB2312" w:hAnsi="楷体_GB2312" w:cs="楷体_GB2312" w:hint="eastAsia"/>
                <w:kern w:val="0"/>
                <w:sz w:val="24"/>
                <w:szCs w:val="24"/>
              </w:rPr>
            </w:pPr>
            <w:r>
              <w:rPr>
                <w:rFonts w:ascii="楷体_GB2312" w:eastAsia="楷体_GB2312" w:hAnsi="楷体_GB2312" w:cs="楷体_GB2312" w:hint="eastAsia"/>
                <w:kern w:val="0"/>
                <w:sz w:val="24"/>
                <w:szCs w:val="24"/>
              </w:rPr>
              <w:t>132</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9A1129">
            <w:pPr>
              <w:widowControl/>
              <w:jc w:val="center"/>
              <w:textAlignment w:val="center"/>
              <w:rPr>
                <w:rFonts w:ascii="楷体_GB2312" w:eastAsia="楷体_GB2312" w:hAnsi="楷体_GB2312" w:cs="楷体_GB2312" w:hint="eastAsia"/>
                <w:sz w:val="24"/>
                <w:szCs w:val="24"/>
              </w:rPr>
            </w:pPr>
            <w:r>
              <w:rPr>
                <w:rFonts w:ascii="楷体_GB2312" w:eastAsia="楷体_GB2312" w:hAnsi="楷体_GB2312" w:cs="楷体_GB2312" w:hint="eastAsia"/>
                <w:sz w:val="24"/>
                <w:szCs w:val="24"/>
              </w:rPr>
              <w:t>100.00%</w:t>
            </w:r>
          </w:p>
        </w:tc>
      </w:tr>
      <w:tr w:rsidR="00000000">
        <w:trPr>
          <w:trHeight w:val="285"/>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8</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9A1129">
            <w:pPr>
              <w:widowControl/>
              <w:jc w:val="center"/>
              <w:textAlignment w:val="bottom"/>
              <w:rPr>
                <w:rFonts w:ascii="楷体_GB2312" w:eastAsia="楷体_GB2312" w:hAnsi="楷体_GB2312" w:cs="楷体_GB2312" w:hint="eastAsia"/>
                <w:kern w:val="0"/>
                <w:sz w:val="24"/>
                <w:szCs w:val="24"/>
              </w:rPr>
            </w:pPr>
            <w:r>
              <w:rPr>
                <w:rFonts w:ascii="楷体_GB2312" w:eastAsia="楷体_GB2312" w:hAnsi="楷体_GB2312" w:cs="楷体_GB2312"/>
                <w:kern w:val="0"/>
                <w:sz w:val="24"/>
                <w:szCs w:val="24"/>
              </w:rPr>
              <w:t>泰州市</w:t>
            </w:r>
          </w:p>
        </w:tc>
        <w:tc>
          <w:tcPr>
            <w:tcW w:w="180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9A1129">
            <w:pPr>
              <w:widowControl/>
              <w:jc w:val="center"/>
              <w:textAlignment w:val="bottom"/>
              <w:rPr>
                <w:rFonts w:ascii="楷体_GB2312" w:eastAsia="楷体_GB2312" w:hAnsi="楷体_GB2312" w:cs="楷体_GB2312" w:hint="eastAsia"/>
                <w:kern w:val="0"/>
                <w:sz w:val="24"/>
                <w:szCs w:val="24"/>
              </w:rPr>
            </w:pPr>
            <w:r>
              <w:rPr>
                <w:rFonts w:ascii="楷体_GB2312" w:eastAsia="楷体_GB2312" w:hAnsi="楷体_GB2312" w:cs="楷体_GB2312" w:hint="eastAsia"/>
                <w:kern w:val="0"/>
                <w:sz w:val="24"/>
                <w:szCs w:val="24"/>
              </w:rPr>
              <w:t>96</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9A1129">
            <w:pPr>
              <w:widowControl/>
              <w:jc w:val="center"/>
              <w:textAlignment w:val="center"/>
              <w:rPr>
                <w:rFonts w:ascii="楷体_GB2312" w:eastAsia="楷体_GB2312" w:hAnsi="楷体_GB2312" w:cs="楷体_GB2312" w:hint="eastAsia"/>
                <w:sz w:val="24"/>
                <w:szCs w:val="24"/>
              </w:rPr>
            </w:pPr>
            <w:r>
              <w:rPr>
                <w:rFonts w:ascii="楷体_GB2312" w:eastAsia="楷体_GB2312" w:hAnsi="楷体_GB2312" w:cs="楷体_GB2312" w:hint="eastAsia"/>
                <w:sz w:val="24"/>
                <w:szCs w:val="24"/>
              </w:rPr>
              <w:t>98.96%</w:t>
            </w:r>
          </w:p>
        </w:tc>
      </w:tr>
      <w:tr w:rsidR="00000000">
        <w:trPr>
          <w:trHeight w:val="285"/>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9</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9A1129">
            <w:pPr>
              <w:widowControl/>
              <w:jc w:val="center"/>
              <w:textAlignment w:val="bottom"/>
              <w:rPr>
                <w:rFonts w:ascii="楷体_GB2312" w:eastAsia="楷体_GB2312" w:hAnsi="楷体_GB2312" w:cs="楷体_GB2312" w:hint="eastAsia"/>
                <w:kern w:val="0"/>
                <w:sz w:val="24"/>
                <w:szCs w:val="24"/>
              </w:rPr>
            </w:pPr>
            <w:r>
              <w:rPr>
                <w:rFonts w:ascii="楷体_GB2312" w:eastAsia="楷体_GB2312" w:hAnsi="楷体_GB2312" w:cs="楷体_GB2312"/>
                <w:kern w:val="0"/>
                <w:sz w:val="24"/>
                <w:szCs w:val="24"/>
              </w:rPr>
              <w:t>无锡市</w:t>
            </w:r>
          </w:p>
        </w:tc>
        <w:tc>
          <w:tcPr>
            <w:tcW w:w="180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9A1129">
            <w:pPr>
              <w:widowControl/>
              <w:jc w:val="center"/>
              <w:textAlignment w:val="bottom"/>
              <w:rPr>
                <w:rFonts w:ascii="楷体_GB2312" w:eastAsia="楷体_GB2312" w:hAnsi="楷体_GB2312" w:cs="楷体_GB2312" w:hint="eastAsia"/>
                <w:kern w:val="0"/>
                <w:sz w:val="24"/>
                <w:szCs w:val="24"/>
              </w:rPr>
            </w:pPr>
            <w:r>
              <w:rPr>
                <w:rFonts w:ascii="楷体_GB2312" w:eastAsia="楷体_GB2312" w:hAnsi="楷体_GB2312" w:cs="楷体_GB2312" w:hint="eastAsia"/>
                <w:kern w:val="0"/>
                <w:sz w:val="24"/>
                <w:szCs w:val="24"/>
              </w:rPr>
              <w:t>99</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9A1129">
            <w:pPr>
              <w:widowControl/>
              <w:jc w:val="center"/>
              <w:textAlignment w:val="center"/>
              <w:rPr>
                <w:rFonts w:ascii="楷体_GB2312" w:eastAsia="楷体_GB2312" w:hAnsi="楷体_GB2312" w:cs="楷体_GB2312" w:hint="eastAsia"/>
                <w:sz w:val="24"/>
                <w:szCs w:val="24"/>
              </w:rPr>
            </w:pPr>
            <w:r>
              <w:rPr>
                <w:rFonts w:ascii="楷体_GB2312" w:eastAsia="楷体_GB2312" w:hAnsi="楷体_GB2312" w:cs="楷体_GB2312" w:hint="eastAsia"/>
                <w:sz w:val="24"/>
                <w:szCs w:val="24"/>
              </w:rPr>
              <w:t>100.00%</w:t>
            </w:r>
          </w:p>
        </w:tc>
      </w:tr>
      <w:tr w:rsidR="00000000">
        <w:trPr>
          <w:trHeight w:val="285"/>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10</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9A1129">
            <w:pPr>
              <w:widowControl/>
              <w:jc w:val="center"/>
              <w:textAlignment w:val="bottom"/>
              <w:rPr>
                <w:rFonts w:ascii="楷体_GB2312" w:eastAsia="楷体_GB2312" w:hAnsi="楷体_GB2312" w:cs="楷体_GB2312" w:hint="eastAsia"/>
                <w:kern w:val="0"/>
                <w:sz w:val="24"/>
                <w:szCs w:val="24"/>
              </w:rPr>
            </w:pPr>
            <w:r>
              <w:rPr>
                <w:rFonts w:ascii="楷体_GB2312" w:eastAsia="楷体_GB2312" w:hAnsi="楷体_GB2312" w:cs="楷体_GB2312"/>
                <w:kern w:val="0"/>
                <w:sz w:val="24"/>
                <w:szCs w:val="24"/>
              </w:rPr>
              <w:t>徐州市</w:t>
            </w:r>
          </w:p>
        </w:tc>
        <w:tc>
          <w:tcPr>
            <w:tcW w:w="180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9A1129">
            <w:pPr>
              <w:widowControl/>
              <w:jc w:val="center"/>
              <w:textAlignment w:val="bottom"/>
              <w:rPr>
                <w:rFonts w:ascii="楷体_GB2312" w:eastAsia="楷体_GB2312" w:hAnsi="楷体_GB2312" w:cs="楷体_GB2312" w:hint="eastAsia"/>
                <w:kern w:val="0"/>
                <w:sz w:val="24"/>
                <w:szCs w:val="24"/>
              </w:rPr>
            </w:pPr>
            <w:r>
              <w:rPr>
                <w:rFonts w:ascii="楷体_GB2312" w:eastAsia="楷体_GB2312" w:hAnsi="楷体_GB2312" w:cs="楷体_GB2312" w:hint="eastAsia"/>
                <w:kern w:val="0"/>
                <w:sz w:val="24"/>
                <w:szCs w:val="24"/>
              </w:rPr>
              <w:t>48</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9A1129">
            <w:pPr>
              <w:widowControl/>
              <w:jc w:val="center"/>
              <w:textAlignment w:val="center"/>
              <w:rPr>
                <w:rFonts w:ascii="楷体_GB2312" w:eastAsia="楷体_GB2312" w:hAnsi="楷体_GB2312" w:cs="楷体_GB2312" w:hint="eastAsia"/>
                <w:sz w:val="24"/>
                <w:szCs w:val="24"/>
              </w:rPr>
            </w:pPr>
            <w:r>
              <w:rPr>
                <w:rFonts w:ascii="楷体_GB2312" w:eastAsia="楷体_GB2312" w:hAnsi="楷体_GB2312" w:cs="楷体_GB2312" w:hint="eastAsia"/>
                <w:sz w:val="24"/>
                <w:szCs w:val="24"/>
              </w:rPr>
              <w:t>93.75%</w:t>
            </w:r>
          </w:p>
        </w:tc>
      </w:tr>
      <w:tr w:rsidR="00000000">
        <w:trPr>
          <w:trHeight w:val="285"/>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11</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9A1129">
            <w:pPr>
              <w:widowControl/>
              <w:jc w:val="center"/>
              <w:textAlignment w:val="bottom"/>
              <w:rPr>
                <w:rFonts w:ascii="楷体_GB2312" w:eastAsia="楷体_GB2312" w:hAnsi="楷体_GB2312" w:cs="楷体_GB2312" w:hint="eastAsia"/>
                <w:kern w:val="0"/>
                <w:sz w:val="24"/>
                <w:szCs w:val="24"/>
              </w:rPr>
            </w:pPr>
            <w:r>
              <w:rPr>
                <w:rFonts w:ascii="楷体_GB2312" w:eastAsia="楷体_GB2312" w:hAnsi="楷体_GB2312" w:cs="楷体_GB2312"/>
                <w:kern w:val="0"/>
                <w:sz w:val="24"/>
                <w:szCs w:val="24"/>
              </w:rPr>
              <w:t>盐城市</w:t>
            </w:r>
          </w:p>
        </w:tc>
        <w:tc>
          <w:tcPr>
            <w:tcW w:w="180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9A1129">
            <w:pPr>
              <w:widowControl/>
              <w:jc w:val="center"/>
              <w:textAlignment w:val="bottom"/>
              <w:rPr>
                <w:rFonts w:ascii="楷体_GB2312" w:eastAsia="楷体_GB2312" w:hAnsi="楷体_GB2312" w:cs="楷体_GB2312" w:hint="eastAsia"/>
                <w:kern w:val="0"/>
                <w:sz w:val="24"/>
                <w:szCs w:val="24"/>
              </w:rPr>
            </w:pPr>
            <w:r>
              <w:rPr>
                <w:rFonts w:ascii="楷体_GB2312" w:eastAsia="楷体_GB2312" w:hAnsi="楷体_GB2312" w:cs="楷体_GB2312" w:hint="eastAsia"/>
                <w:kern w:val="0"/>
                <w:sz w:val="24"/>
                <w:szCs w:val="24"/>
              </w:rPr>
              <w:t>128</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9A1129">
            <w:pPr>
              <w:widowControl/>
              <w:jc w:val="center"/>
              <w:textAlignment w:val="center"/>
              <w:rPr>
                <w:rFonts w:ascii="楷体_GB2312" w:eastAsia="楷体_GB2312" w:hAnsi="楷体_GB2312" w:cs="楷体_GB2312" w:hint="eastAsia"/>
                <w:sz w:val="24"/>
                <w:szCs w:val="24"/>
              </w:rPr>
            </w:pPr>
            <w:r>
              <w:rPr>
                <w:rFonts w:ascii="楷体_GB2312" w:eastAsia="楷体_GB2312" w:hAnsi="楷体_GB2312" w:cs="楷体_GB2312" w:hint="eastAsia"/>
                <w:sz w:val="24"/>
                <w:szCs w:val="24"/>
              </w:rPr>
              <w:t>97.66%</w:t>
            </w:r>
          </w:p>
        </w:tc>
      </w:tr>
      <w:tr w:rsidR="00000000">
        <w:trPr>
          <w:trHeight w:val="285"/>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12</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9A1129">
            <w:pPr>
              <w:widowControl/>
              <w:jc w:val="center"/>
              <w:textAlignment w:val="bottom"/>
              <w:rPr>
                <w:rFonts w:ascii="楷体_GB2312" w:eastAsia="楷体_GB2312" w:hAnsi="楷体_GB2312" w:cs="楷体_GB2312" w:hint="eastAsia"/>
                <w:kern w:val="0"/>
                <w:sz w:val="24"/>
                <w:szCs w:val="24"/>
              </w:rPr>
            </w:pPr>
            <w:r>
              <w:rPr>
                <w:rFonts w:ascii="楷体_GB2312" w:eastAsia="楷体_GB2312" w:hAnsi="楷体_GB2312" w:cs="楷体_GB2312"/>
                <w:kern w:val="0"/>
                <w:sz w:val="24"/>
                <w:szCs w:val="24"/>
              </w:rPr>
              <w:t>扬州市</w:t>
            </w:r>
          </w:p>
        </w:tc>
        <w:tc>
          <w:tcPr>
            <w:tcW w:w="180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9A1129">
            <w:pPr>
              <w:widowControl/>
              <w:jc w:val="center"/>
              <w:textAlignment w:val="bottom"/>
              <w:rPr>
                <w:rFonts w:ascii="楷体_GB2312" w:eastAsia="楷体_GB2312" w:hAnsi="楷体_GB2312" w:cs="楷体_GB2312" w:hint="eastAsia"/>
                <w:kern w:val="0"/>
                <w:sz w:val="24"/>
                <w:szCs w:val="24"/>
              </w:rPr>
            </w:pPr>
            <w:r>
              <w:rPr>
                <w:rFonts w:ascii="楷体_GB2312" w:eastAsia="楷体_GB2312" w:hAnsi="楷体_GB2312" w:cs="楷体_GB2312" w:hint="eastAsia"/>
                <w:kern w:val="0"/>
                <w:sz w:val="24"/>
                <w:szCs w:val="24"/>
              </w:rPr>
              <w:t>72</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9A1129">
            <w:pPr>
              <w:widowControl/>
              <w:jc w:val="center"/>
              <w:textAlignment w:val="center"/>
              <w:rPr>
                <w:rFonts w:ascii="楷体_GB2312" w:eastAsia="楷体_GB2312" w:hAnsi="楷体_GB2312" w:cs="楷体_GB2312" w:hint="eastAsia"/>
                <w:sz w:val="24"/>
                <w:szCs w:val="24"/>
              </w:rPr>
            </w:pPr>
            <w:r>
              <w:rPr>
                <w:rFonts w:ascii="楷体_GB2312" w:eastAsia="楷体_GB2312" w:hAnsi="楷体_GB2312" w:cs="楷体_GB2312" w:hint="eastAsia"/>
                <w:sz w:val="24"/>
                <w:szCs w:val="24"/>
              </w:rPr>
              <w:t>97.61%</w:t>
            </w:r>
          </w:p>
        </w:tc>
      </w:tr>
      <w:tr w:rsidR="00000000">
        <w:trPr>
          <w:trHeight w:val="285"/>
          <w:jc w:val="center"/>
        </w:trPr>
        <w:tc>
          <w:tcPr>
            <w:tcW w:w="1080" w:type="dxa"/>
            <w:tcBorders>
              <w:top w:val="nil"/>
              <w:left w:val="single" w:sz="4" w:space="0" w:color="000000"/>
              <w:bottom w:val="single" w:sz="4" w:space="0" w:color="000000"/>
              <w:right w:val="single" w:sz="4" w:space="0" w:color="000000"/>
            </w:tcBorders>
            <w:tcMar>
              <w:top w:w="15" w:type="dxa"/>
              <w:left w:w="15" w:type="dxa"/>
              <w:right w:w="15" w:type="dxa"/>
            </w:tcMar>
            <w:vAlign w:val="bottom"/>
          </w:tcPr>
          <w:p w:rsidR="00000000" w:rsidRDefault="009A1129">
            <w:pPr>
              <w:widowControl/>
              <w:jc w:val="center"/>
              <w:textAlignment w:val="bottom"/>
              <w:rPr>
                <w:rFonts w:ascii="楷体_GB2312" w:eastAsia="楷体_GB2312" w:hAnsi="楷体_GB2312" w:cs="楷体_GB2312"/>
                <w:sz w:val="24"/>
                <w:szCs w:val="24"/>
              </w:rPr>
            </w:pPr>
            <w:r>
              <w:rPr>
                <w:rFonts w:ascii="楷体_GB2312" w:eastAsia="楷体_GB2312" w:hAnsi="楷体_GB2312" w:cs="楷体_GB2312" w:hint="eastAsia"/>
                <w:kern w:val="0"/>
                <w:sz w:val="24"/>
                <w:szCs w:val="24"/>
              </w:rPr>
              <w:t>13</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9A1129">
            <w:pPr>
              <w:widowControl/>
              <w:jc w:val="center"/>
              <w:textAlignment w:val="bottom"/>
              <w:rPr>
                <w:rFonts w:ascii="楷体_GB2312" w:eastAsia="楷体_GB2312" w:hAnsi="楷体_GB2312" w:cs="楷体_GB2312" w:hint="eastAsia"/>
                <w:kern w:val="0"/>
                <w:sz w:val="24"/>
                <w:szCs w:val="24"/>
              </w:rPr>
            </w:pPr>
            <w:r>
              <w:rPr>
                <w:rFonts w:ascii="楷体_GB2312" w:eastAsia="楷体_GB2312" w:hAnsi="楷体_GB2312" w:cs="楷体_GB2312"/>
                <w:kern w:val="0"/>
                <w:sz w:val="24"/>
                <w:szCs w:val="24"/>
              </w:rPr>
              <w:t>镇江市</w:t>
            </w:r>
          </w:p>
        </w:tc>
        <w:tc>
          <w:tcPr>
            <w:tcW w:w="180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9A1129">
            <w:pPr>
              <w:widowControl/>
              <w:jc w:val="center"/>
              <w:textAlignment w:val="bottom"/>
              <w:rPr>
                <w:rFonts w:ascii="楷体_GB2312" w:eastAsia="楷体_GB2312" w:hAnsi="楷体_GB2312" w:cs="楷体_GB2312" w:hint="eastAsia"/>
                <w:kern w:val="0"/>
                <w:sz w:val="24"/>
                <w:szCs w:val="24"/>
              </w:rPr>
            </w:pPr>
            <w:r>
              <w:rPr>
                <w:rFonts w:ascii="楷体_GB2312" w:eastAsia="楷体_GB2312" w:hAnsi="楷体_GB2312" w:cs="楷体_GB2312" w:hint="eastAsia"/>
                <w:kern w:val="0"/>
                <w:sz w:val="24"/>
                <w:szCs w:val="24"/>
              </w:rPr>
              <w:t>45</w:t>
            </w:r>
          </w:p>
        </w:tc>
        <w:tc>
          <w:tcPr>
            <w:tcW w:w="1080" w:type="dxa"/>
            <w:tcBorders>
              <w:top w:val="nil"/>
              <w:left w:val="nil"/>
              <w:bottom w:val="single" w:sz="4" w:space="0" w:color="000000"/>
              <w:right w:val="single" w:sz="4" w:space="0" w:color="000000"/>
            </w:tcBorders>
            <w:tcMar>
              <w:top w:w="15" w:type="dxa"/>
              <w:left w:w="15" w:type="dxa"/>
              <w:right w:w="15" w:type="dxa"/>
            </w:tcMar>
            <w:vAlign w:val="center"/>
          </w:tcPr>
          <w:p w:rsidR="00000000" w:rsidRDefault="009A1129">
            <w:pPr>
              <w:widowControl/>
              <w:jc w:val="center"/>
              <w:textAlignment w:val="center"/>
              <w:rPr>
                <w:rFonts w:ascii="楷体_GB2312" w:eastAsia="楷体_GB2312" w:hAnsi="楷体_GB2312" w:cs="楷体_GB2312" w:hint="eastAsia"/>
                <w:sz w:val="24"/>
                <w:szCs w:val="24"/>
              </w:rPr>
            </w:pPr>
            <w:r>
              <w:rPr>
                <w:rFonts w:ascii="楷体_GB2312" w:eastAsia="楷体_GB2312" w:hAnsi="楷体_GB2312" w:cs="楷体_GB2312" w:hint="eastAsia"/>
                <w:sz w:val="24"/>
                <w:szCs w:val="24"/>
              </w:rPr>
              <w:t>93.33%</w:t>
            </w:r>
          </w:p>
        </w:tc>
      </w:tr>
    </w:tbl>
    <w:p w:rsidR="00000000" w:rsidRDefault="009A1129">
      <w:pPr>
        <w:spacing w:line="480" w:lineRule="auto"/>
        <w:jc w:val="left"/>
        <w:rPr>
          <w:rFonts w:ascii="楷体_GB2312" w:eastAsia="楷体_GB2312" w:hAnsi="楷体_GB2312" w:cs="楷体_GB2312" w:hint="eastAsia"/>
          <w:b/>
          <w:bCs/>
          <w:sz w:val="32"/>
          <w:szCs w:val="32"/>
        </w:rPr>
      </w:pPr>
    </w:p>
    <w:p w:rsidR="00000000" w:rsidRDefault="009A1129">
      <w:pPr>
        <w:spacing w:line="480" w:lineRule="auto"/>
        <w:jc w:val="left"/>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四、毕业流向</w:t>
      </w:r>
    </w:p>
    <w:p w:rsidR="00000000" w:rsidRDefault="009A1129">
      <w:pPr>
        <w:spacing w:line="480" w:lineRule="auto"/>
        <w:jc w:val="left"/>
        <w:rPr>
          <w:rFonts w:ascii="楷体_GB2312" w:eastAsia="楷体_GB2312" w:hAnsi="楷体_GB2312" w:cs="楷体_GB2312"/>
          <w:b/>
          <w:sz w:val="28"/>
          <w:szCs w:val="28"/>
        </w:rPr>
      </w:pPr>
      <w:r>
        <w:rPr>
          <w:rFonts w:ascii="楷体_GB2312" w:eastAsia="楷体_GB2312" w:hAnsi="楷体_GB2312" w:cs="楷体_GB2312" w:hint="eastAsia"/>
          <w:b/>
          <w:sz w:val="32"/>
          <w:szCs w:val="32"/>
        </w:rPr>
        <w:t>（一）</w:t>
      </w:r>
      <w:r>
        <w:rPr>
          <w:rFonts w:ascii="楷体_GB2312" w:eastAsia="楷体_GB2312" w:hAnsi="楷体_GB2312" w:cs="楷体_GB2312" w:hint="eastAsia"/>
          <w:b/>
          <w:sz w:val="28"/>
          <w:szCs w:val="28"/>
        </w:rPr>
        <w:t>毕业生总体流向</w:t>
      </w:r>
    </w:p>
    <w:p w:rsidR="00000000" w:rsidRDefault="009A1129">
      <w:pPr>
        <w:spacing w:line="480" w:lineRule="auto"/>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lastRenderedPageBreak/>
        <w:t>截至</w:t>
      </w:r>
      <w:r>
        <w:rPr>
          <w:rFonts w:ascii="楷体_GB2312" w:eastAsia="楷体_GB2312" w:hAnsi="楷体_GB2312" w:cs="楷体_GB2312" w:hint="eastAsia"/>
          <w:sz w:val="28"/>
          <w:szCs w:val="28"/>
        </w:rPr>
        <w:t>201</w:t>
      </w:r>
      <w:r>
        <w:rPr>
          <w:rFonts w:ascii="楷体_GB2312" w:eastAsia="楷体_GB2312" w:hAnsi="楷体_GB2312" w:cs="楷体_GB2312" w:hint="eastAsia"/>
          <w:sz w:val="28"/>
          <w:szCs w:val="28"/>
        </w:rPr>
        <w:t>7</w:t>
      </w:r>
      <w:r>
        <w:rPr>
          <w:rFonts w:ascii="楷体_GB2312" w:eastAsia="楷体_GB2312" w:hAnsi="楷体_GB2312" w:cs="楷体_GB2312" w:hint="eastAsia"/>
          <w:sz w:val="28"/>
          <w:szCs w:val="28"/>
        </w:rPr>
        <w:t>年</w:t>
      </w:r>
      <w:r>
        <w:rPr>
          <w:rFonts w:ascii="楷体_GB2312" w:eastAsia="楷体_GB2312" w:hAnsi="楷体_GB2312" w:cs="楷体_GB2312" w:hint="eastAsia"/>
          <w:sz w:val="28"/>
          <w:szCs w:val="28"/>
        </w:rPr>
        <w:t>12</w:t>
      </w:r>
      <w:r>
        <w:rPr>
          <w:rFonts w:ascii="楷体_GB2312" w:eastAsia="楷体_GB2312" w:hAnsi="楷体_GB2312" w:cs="楷体_GB2312" w:hint="eastAsia"/>
          <w:sz w:val="28"/>
          <w:szCs w:val="28"/>
        </w:rPr>
        <w:t>月</w:t>
      </w:r>
      <w:r>
        <w:rPr>
          <w:rFonts w:ascii="楷体_GB2312" w:eastAsia="楷体_GB2312" w:hAnsi="楷体_GB2312" w:cs="楷体_GB2312" w:hint="eastAsia"/>
          <w:sz w:val="28"/>
          <w:szCs w:val="28"/>
        </w:rPr>
        <w:t>2</w:t>
      </w:r>
      <w:r>
        <w:rPr>
          <w:rFonts w:ascii="楷体_GB2312" w:eastAsia="楷体_GB2312" w:hAnsi="楷体_GB2312" w:cs="楷体_GB2312" w:hint="eastAsia"/>
          <w:sz w:val="28"/>
          <w:szCs w:val="28"/>
        </w:rPr>
        <w:t>5</w:t>
      </w:r>
      <w:r>
        <w:rPr>
          <w:rFonts w:ascii="楷体_GB2312" w:eastAsia="楷体_GB2312" w:hAnsi="楷体_GB2312" w:cs="楷体_GB2312" w:hint="eastAsia"/>
          <w:sz w:val="28"/>
          <w:szCs w:val="28"/>
        </w:rPr>
        <w:t>日，全院</w:t>
      </w:r>
      <w:r>
        <w:rPr>
          <w:rFonts w:ascii="楷体_GB2312" w:eastAsia="楷体_GB2312" w:hAnsi="楷体_GB2312" w:cs="楷体_GB2312" w:hint="eastAsia"/>
          <w:sz w:val="28"/>
          <w:szCs w:val="28"/>
        </w:rPr>
        <w:t>1</w:t>
      </w:r>
      <w:r>
        <w:rPr>
          <w:rFonts w:ascii="楷体_GB2312" w:eastAsia="楷体_GB2312" w:hAnsi="楷体_GB2312" w:cs="楷体_GB2312" w:hint="eastAsia"/>
          <w:sz w:val="28"/>
          <w:szCs w:val="28"/>
        </w:rPr>
        <w:t>811</w:t>
      </w:r>
      <w:r>
        <w:rPr>
          <w:rFonts w:ascii="楷体_GB2312" w:eastAsia="楷体_GB2312" w:hAnsi="楷体_GB2312" w:cs="楷体_GB2312" w:hint="eastAsia"/>
          <w:sz w:val="28"/>
          <w:szCs w:val="28"/>
        </w:rPr>
        <w:t>名毕业生中，</w:t>
      </w:r>
      <w:r>
        <w:rPr>
          <w:rFonts w:ascii="楷体_GB2312" w:eastAsia="楷体_GB2312" w:hAnsi="楷体_GB2312" w:cs="楷体_GB2312" w:hint="eastAsia"/>
          <w:sz w:val="28"/>
          <w:szCs w:val="28"/>
        </w:rPr>
        <w:t>单位</w:t>
      </w:r>
      <w:r>
        <w:rPr>
          <w:rFonts w:ascii="楷体_GB2312" w:eastAsia="楷体_GB2312" w:hAnsi="楷体_GB2312" w:cs="楷体_GB2312" w:hint="eastAsia"/>
          <w:sz w:val="28"/>
          <w:szCs w:val="28"/>
        </w:rPr>
        <w:t>就业率</w:t>
      </w:r>
      <w:r>
        <w:rPr>
          <w:rFonts w:ascii="楷体_GB2312" w:eastAsia="楷体_GB2312" w:hAnsi="楷体_GB2312" w:cs="楷体_GB2312" w:hint="eastAsia"/>
          <w:sz w:val="28"/>
          <w:szCs w:val="28"/>
        </w:rPr>
        <w:t>为</w:t>
      </w:r>
      <w:r>
        <w:rPr>
          <w:rFonts w:ascii="楷体_GB2312" w:eastAsia="楷体_GB2312" w:hAnsi="楷体_GB2312" w:cs="楷体_GB2312" w:hint="eastAsia"/>
          <w:sz w:val="28"/>
          <w:szCs w:val="28"/>
        </w:rPr>
        <w:t>88.24</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，升学出国率为</w:t>
      </w:r>
      <w:r>
        <w:rPr>
          <w:rFonts w:ascii="楷体_GB2312" w:eastAsia="楷体_GB2312" w:hAnsi="楷体_GB2312" w:cs="楷体_GB2312" w:hint="eastAsia"/>
          <w:sz w:val="28"/>
          <w:szCs w:val="28"/>
        </w:rPr>
        <w:t>4.36</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灵活就业率为</w:t>
      </w:r>
      <w:r>
        <w:rPr>
          <w:rFonts w:ascii="楷体_GB2312" w:eastAsia="楷体_GB2312" w:hAnsi="楷体_GB2312" w:cs="楷体_GB2312" w:hint="eastAsia"/>
          <w:sz w:val="28"/>
          <w:szCs w:val="28"/>
        </w:rPr>
        <w:t>5.19</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，未就业率为</w:t>
      </w:r>
      <w:r>
        <w:rPr>
          <w:rFonts w:ascii="楷体_GB2312" w:eastAsia="楷体_GB2312" w:hAnsi="楷体_GB2312" w:cs="楷体_GB2312" w:hint="eastAsia"/>
          <w:sz w:val="28"/>
          <w:szCs w:val="28"/>
        </w:rPr>
        <w:t>2.21</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见图</w:t>
      </w:r>
      <w:r>
        <w:rPr>
          <w:rFonts w:ascii="楷体_GB2312" w:eastAsia="楷体_GB2312" w:hAnsi="楷体_GB2312" w:cs="楷体_GB2312" w:hint="eastAsia"/>
          <w:sz w:val="28"/>
          <w:szCs w:val="28"/>
        </w:rPr>
        <w:t>1-6</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w:t>
      </w:r>
    </w:p>
    <w:p w:rsidR="00000000" w:rsidRDefault="006666D3">
      <w:pPr>
        <w:spacing w:line="480" w:lineRule="auto"/>
        <w:ind w:firstLineChars="200" w:firstLine="420"/>
        <w:jc w:val="center"/>
        <w:rPr>
          <w:rFonts w:ascii="楷体_GB2312" w:eastAsia="楷体_GB2312" w:hAnsi="楷体_GB2312" w:cs="楷体_GB2312"/>
          <w:sz w:val="28"/>
          <w:szCs w:val="28"/>
        </w:rPr>
      </w:pPr>
      <w:r>
        <w:rPr>
          <w:noProof/>
        </w:rPr>
        <w:drawing>
          <wp:inline distT="0" distB="0" distL="0" distR="0">
            <wp:extent cx="4211551" cy="2525636"/>
            <wp:effectExtent l="4095" t="4092" r="13454" b="13447"/>
            <wp:docPr id="9"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00000" w:rsidRDefault="009A1129">
      <w:pPr>
        <w:spacing w:line="480" w:lineRule="auto"/>
        <w:ind w:firstLineChars="200" w:firstLine="562"/>
        <w:jc w:val="center"/>
        <w:rPr>
          <w:rFonts w:ascii="楷体_GB2312" w:eastAsia="楷体_GB2312" w:hAnsi="楷体_GB2312" w:cs="楷体_GB2312" w:hint="eastAsia"/>
          <w:b/>
          <w:bCs/>
          <w:sz w:val="28"/>
          <w:szCs w:val="28"/>
        </w:rPr>
      </w:pP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1-6  201</w:t>
      </w:r>
      <w:r>
        <w:rPr>
          <w:rFonts w:ascii="楷体_GB2312" w:eastAsia="楷体_GB2312" w:hAnsi="楷体_GB2312" w:cs="楷体_GB2312" w:hint="eastAsia"/>
          <w:b/>
          <w:bCs/>
          <w:sz w:val="28"/>
          <w:szCs w:val="28"/>
        </w:rPr>
        <w:t>7</w:t>
      </w:r>
      <w:r>
        <w:rPr>
          <w:rFonts w:ascii="楷体_GB2312" w:eastAsia="楷体_GB2312" w:hAnsi="楷体_GB2312" w:cs="楷体_GB2312" w:hint="eastAsia"/>
          <w:b/>
          <w:bCs/>
          <w:sz w:val="28"/>
          <w:szCs w:val="28"/>
        </w:rPr>
        <w:t>届毕业生总体流向</w:t>
      </w:r>
    </w:p>
    <w:p w:rsidR="00000000" w:rsidRDefault="009A1129">
      <w:pPr>
        <w:spacing w:line="480" w:lineRule="auto"/>
        <w:jc w:val="left"/>
        <w:rPr>
          <w:rFonts w:ascii="楷体_GB2312" w:eastAsia="楷体_GB2312" w:hAnsi="楷体_GB2312" w:cs="楷体_GB2312"/>
          <w:b/>
          <w:sz w:val="28"/>
          <w:szCs w:val="28"/>
        </w:rPr>
      </w:pPr>
      <w:r>
        <w:rPr>
          <w:rFonts w:ascii="楷体_GB2312" w:eastAsia="楷体_GB2312" w:hAnsi="楷体_GB2312" w:cs="楷体_GB2312" w:hint="eastAsia"/>
          <w:b/>
          <w:sz w:val="28"/>
          <w:szCs w:val="28"/>
        </w:rPr>
        <w:t>1</w:t>
      </w:r>
      <w:r>
        <w:rPr>
          <w:rFonts w:ascii="楷体_GB2312" w:eastAsia="楷体_GB2312" w:hAnsi="楷体_GB2312" w:cs="楷体_GB2312" w:hint="eastAsia"/>
          <w:b/>
          <w:sz w:val="28"/>
          <w:szCs w:val="28"/>
        </w:rPr>
        <w:t>、</w:t>
      </w:r>
      <w:r>
        <w:rPr>
          <w:rFonts w:ascii="楷体_GB2312" w:eastAsia="楷体_GB2312" w:hAnsi="楷体_GB2312" w:cs="楷体_GB2312" w:hint="eastAsia"/>
          <w:b/>
          <w:sz w:val="28"/>
          <w:szCs w:val="28"/>
        </w:rPr>
        <w:t>协议</w:t>
      </w:r>
      <w:r>
        <w:rPr>
          <w:rFonts w:ascii="楷体_GB2312" w:eastAsia="楷体_GB2312" w:hAnsi="楷体_GB2312" w:cs="楷体_GB2312" w:hint="eastAsia"/>
          <w:b/>
          <w:sz w:val="28"/>
          <w:szCs w:val="28"/>
        </w:rPr>
        <w:t>就业情况</w:t>
      </w:r>
    </w:p>
    <w:p w:rsidR="00000000" w:rsidRDefault="009A1129">
      <w:pPr>
        <w:spacing w:line="480" w:lineRule="auto"/>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协议就业率包括单位就业率、升学出国率和灵活就业率。</w:t>
      </w:r>
      <w:r>
        <w:rPr>
          <w:rFonts w:ascii="楷体_GB2312" w:eastAsia="楷体_GB2312" w:hAnsi="楷体_GB2312" w:cs="楷体_GB2312" w:hint="eastAsia"/>
          <w:sz w:val="28"/>
          <w:szCs w:val="28"/>
        </w:rPr>
        <w:t>2017</w:t>
      </w:r>
      <w:r>
        <w:rPr>
          <w:rFonts w:ascii="楷体_GB2312" w:eastAsia="楷体_GB2312" w:hAnsi="楷体_GB2312" w:cs="楷体_GB2312" w:hint="eastAsia"/>
          <w:sz w:val="28"/>
          <w:szCs w:val="28"/>
        </w:rPr>
        <w:t>届毕业生协议就业率为</w:t>
      </w:r>
      <w:r>
        <w:rPr>
          <w:rFonts w:ascii="楷体_GB2312" w:eastAsia="楷体_GB2312" w:hAnsi="楷体_GB2312" w:cs="楷体_GB2312" w:hint="eastAsia"/>
          <w:sz w:val="28"/>
          <w:szCs w:val="28"/>
        </w:rPr>
        <w:t>92.6%</w:t>
      </w:r>
      <w:r>
        <w:rPr>
          <w:rFonts w:ascii="楷体_GB2312" w:eastAsia="楷体_GB2312" w:hAnsi="楷体_GB2312" w:cs="楷体_GB2312" w:hint="eastAsia"/>
          <w:sz w:val="28"/>
          <w:szCs w:val="28"/>
        </w:rPr>
        <w:t>，各</w:t>
      </w:r>
      <w:r>
        <w:rPr>
          <w:rFonts w:ascii="楷体_GB2312" w:eastAsia="楷体_GB2312" w:hAnsi="楷体_GB2312" w:cs="楷体_GB2312" w:hint="eastAsia"/>
          <w:sz w:val="28"/>
          <w:szCs w:val="28"/>
        </w:rPr>
        <w:t>学部</w:t>
      </w:r>
      <w:r>
        <w:rPr>
          <w:rFonts w:ascii="楷体_GB2312" w:eastAsia="楷体_GB2312" w:hAnsi="楷体_GB2312" w:cs="楷体_GB2312" w:hint="eastAsia"/>
          <w:sz w:val="28"/>
          <w:szCs w:val="28"/>
        </w:rPr>
        <w:t>201</w:t>
      </w:r>
      <w:r>
        <w:rPr>
          <w:rFonts w:ascii="楷体_GB2312" w:eastAsia="楷体_GB2312" w:hAnsi="楷体_GB2312" w:cs="楷体_GB2312" w:hint="eastAsia"/>
          <w:sz w:val="28"/>
          <w:szCs w:val="28"/>
        </w:rPr>
        <w:t>7</w:t>
      </w:r>
      <w:r>
        <w:rPr>
          <w:rFonts w:ascii="楷体_GB2312" w:eastAsia="楷体_GB2312" w:hAnsi="楷体_GB2312" w:cs="楷体_GB2312" w:hint="eastAsia"/>
          <w:sz w:val="28"/>
          <w:szCs w:val="28"/>
        </w:rPr>
        <w:t>届毕业生</w:t>
      </w:r>
      <w:r>
        <w:rPr>
          <w:rFonts w:ascii="楷体_GB2312" w:eastAsia="楷体_GB2312" w:hAnsi="楷体_GB2312" w:cs="楷体_GB2312" w:hint="eastAsia"/>
          <w:sz w:val="28"/>
          <w:szCs w:val="28"/>
        </w:rPr>
        <w:t>协议</w:t>
      </w:r>
      <w:r>
        <w:rPr>
          <w:rFonts w:ascii="楷体_GB2312" w:eastAsia="楷体_GB2312" w:hAnsi="楷体_GB2312" w:cs="楷体_GB2312" w:hint="eastAsia"/>
          <w:sz w:val="28"/>
          <w:szCs w:val="28"/>
        </w:rPr>
        <w:t>就业情况</w:t>
      </w:r>
      <w:r>
        <w:rPr>
          <w:rFonts w:ascii="楷体_GB2312" w:eastAsia="楷体_GB2312" w:hAnsi="楷体_GB2312" w:cs="楷体_GB2312" w:hint="eastAsia"/>
          <w:sz w:val="28"/>
          <w:szCs w:val="28"/>
        </w:rPr>
        <w:t>见图</w:t>
      </w:r>
      <w:r>
        <w:rPr>
          <w:rFonts w:ascii="楷体_GB2312" w:eastAsia="楷体_GB2312" w:hAnsi="楷体_GB2312" w:cs="楷体_GB2312" w:hint="eastAsia"/>
          <w:sz w:val="28"/>
          <w:szCs w:val="28"/>
        </w:rPr>
        <w:t>1-7</w:t>
      </w:r>
      <w:r>
        <w:rPr>
          <w:rFonts w:ascii="楷体_GB2312" w:eastAsia="楷体_GB2312" w:hAnsi="楷体_GB2312" w:cs="楷体_GB2312" w:hint="eastAsia"/>
          <w:sz w:val="28"/>
          <w:szCs w:val="28"/>
        </w:rPr>
        <w:t>。</w:t>
      </w:r>
    </w:p>
    <w:p w:rsidR="00000000" w:rsidRDefault="006666D3">
      <w:pPr>
        <w:spacing w:line="480" w:lineRule="auto"/>
        <w:ind w:firstLineChars="200" w:firstLine="420"/>
        <w:rPr>
          <w:rFonts w:ascii="楷体_GB2312" w:eastAsia="楷体_GB2312" w:hAnsi="楷体_GB2312" w:cs="楷体_GB2312"/>
        </w:rPr>
      </w:pPr>
      <w:r>
        <w:rPr>
          <w:noProof/>
        </w:rPr>
        <w:drawing>
          <wp:inline distT="0" distB="0" distL="0" distR="0">
            <wp:extent cx="4590971" cy="2194560"/>
            <wp:effectExtent l="4463" t="3556" r="14666" b="11684"/>
            <wp:docPr id="10" name="图片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00000" w:rsidRDefault="009A1129">
      <w:pPr>
        <w:spacing w:line="480" w:lineRule="auto"/>
        <w:ind w:firstLineChars="200" w:firstLine="562"/>
        <w:jc w:val="center"/>
        <w:rPr>
          <w:rFonts w:ascii="楷体_GB2312" w:eastAsia="楷体_GB2312" w:hAnsi="楷体_GB2312" w:cs="楷体_GB2312" w:hint="eastAsia"/>
          <w:sz w:val="28"/>
          <w:szCs w:val="28"/>
        </w:rPr>
      </w:pP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 xml:space="preserve">1-7  </w:t>
      </w:r>
      <w:r>
        <w:rPr>
          <w:rFonts w:ascii="楷体_GB2312" w:eastAsia="楷体_GB2312" w:hAnsi="楷体_GB2312" w:cs="楷体_GB2312" w:hint="eastAsia"/>
          <w:b/>
          <w:bCs/>
          <w:sz w:val="28"/>
          <w:szCs w:val="28"/>
        </w:rPr>
        <w:t>各学部</w:t>
      </w:r>
      <w:r>
        <w:rPr>
          <w:rFonts w:ascii="楷体_GB2312" w:eastAsia="楷体_GB2312" w:hAnsi="楷体_GB2312" w:cs="楷体_GB2312" w:hint="eastAsia"/>
          <w:b/>
          <w:bCs/>
          <w:sz w:val="28"/>
          <w:szCs w:val="28"/>
        </w:rPr>
        <w:t>201</w:t>
      </w:r>
      <w:r>
        <w:rPr>
          <w:rFonts w:ascii="楷体_GB2312" w:eastAsia="楷体_GB2312" w:hAnsi="楷体_GB2312" w:cs="楷体_GB2312" w:hint="eastAsia"/>
          <w:b/>
          <w:bCs/>
          <w:sz w:val="28"/>
          <w:szCs w:val="28"/>
        </w:rPr>
        <w:t>7</w:t>
      </w:r>
      <w:r>
        <w:rPr>
          <w:rFonts w:ascii="楷体_GB2312" w:eastAsia="楷体_GB2312" w:hAnsi="楷体_GB2312" w:cs="楷体_GB2312" w:hint="eastAsia"/>
          <w:b/>
          <w:bCs/>
          <w:sz w:val="28"/>
          <w:szCs w:val="28"/>
        </w:rPr>
        <w:t>届毕业生</w:t>
      </w:r>
      <w:r>
        <w:rPr>
          <w:rFonts w:ascii="楷体_GB2312" w:eastAsia="楷体_GB2312" w:hAnsi="楷体_GB2312" w:cs="楷体_GB2312" w:hint="eastAsia"/>
          <w:b/>
          <w:bCs/>
          <w:sz w:val="28"/>
          <w:szCs w:val="28"/>
        </w:rPr>
        <w:t>协议</w:t>
      </w:r>
      <w:r>
        <w:rPr>
          <w:rFonts w:ascii="楷体_GB2312" w:eastAsia="楷体_GB2312" w:hAnsi="楷体_GB2312" w:cs="楷体_GB2312" w:hint="eastAsia"/>
          <w:b/>
          <w:bCs/>
          <w:sz w:val="28"/>
          <w:szCs w:val="28"/>
        </w:rPr>
        <w:t>就业率</w:t>
      </w:r>
    </w:p>
    <w:p w:rsidR="00000000" w:rsidRDefault="009A1129">
      <w:pPr>
        <w:spacing w:line="480" w:lineRule="auto"/>
        <w:jc w:val="left"/>
        <w:rPr>
          <w:rFonts w:ascii="楷体_GB2312" w:eastAsia="楷体_GB2312" w:hAnsi="楷体_GB2312" w:cs="楷体_GB2312"/>
          <w:b/>
          <w:sz w:val="28"/>
          <w:szCs w:val="28"/>
        </w:rPr>
      </w:pPr>
      <w:r>
        <w:rPr>
          <w:rFonts w:ascii="楷体_GB2312" w:eastAsia="楷体_GB2312" w:hAnsi="楷体_GB2312" w:cs="楷体_GB2312" w:hint="eastAsia"/>
          <w:b/>
          <w:sz w:val="28"/>
          <w:szCs w:val="28"/>
        </w:rPr>
        <w:lastRenderedPageBreak/>
        <w:t>2</w:t>
      </w:r>
      <w:r>
        <w:rPr>
          <w:rFonts w:ascii="楷体_GB2312" w:eastAsia="楷体_GB2312" w:hAnsi="楷体_GB2312" w:cs="楷体_GB2312" w:hint="eastAsia"/>
          <w:b/>
          <w:sz w:val="28"/>
          <w:szCs w:val="28"/>
        </w:rPr>
        <w:t>、升学出国情况</w:t>
      </w:r>
    </w:p>
    <w:p w:rsidR="00000000" w:rsidRDefault="009A1129">
      <w:pPr>
        <w:spacing w:line="480" w:lineRule="auto"/>
        <w:ind w:firstLineChars="200" w:firstLine="562"/>
        <w:jc w:val="left"/>
        <w:rPr>
          <w:rFonts w:ascii="楷体_GB2312" w:eastAsia="楷体_GB2312" w:hAnsi="楷体_GB2312" w:cs="楷体_GB2312"/>
          <w:b/>
          <w:sz w:val="28"/>
          <w:szCs w:val="28"/>
        </w:rPr>
      </w:pPr>
      <w:r>
        <w:rPr>
          <w:rFonts w:ascii="楷体_GB2312" w:eastAsia="楷体_GB2312" w:hAnsi="楷体_GB2312" w:cs="楷体_GB2312" w:hint="eastAsia"/>
          <w:b/>
          <w:sz w:val="28"/>
          <w:szCs w:val="28"/>
        </w:rPr>
        <w:t>（</w:t>
      </w:r>
      <w:r>
        <w:rPr>
          <w:rFonts w:ascii="楷体_GB2312" w:eastAsia="楷体_GB2312" w:hAnsi="楷体_GB2312" w:cs="楷体_GB2312" w:hint="eastAsia"/>
          <w:b/>
          <w:sz w:val="28"/>
          <w:szCs w:val="28"/>
        </w:rPr>
        <w:t>1</w:t>
      </w:r>
      <w:r>
        <w:rPr>
          <w:rFonts w:ascii="楷体_GB2312" w:eastAsia="楷体_GB2312" w:hAnsi="楷体_GB2312" w:cs="楷体_GB2312" w:hint="eastAsia"/>
          <w:b/>
          <w:sz w:val="28"/>
          <w:szCs w:val="28"/>
        </w:rPr>
        <w:t>）各学部升学出国情况</w:t>
      </w:r>
    </w:p>
    <w:p w:rsidR="00000000" w:rsidRDefault="009A1129">
      <w:pPr>
        <w:spacing w:line="480" w:lineRule="auto"/>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我院</w:t>
      </w:r>
      <w:r>
        <w:rPr>
          <w:rFonts w:ascii="楷体_GB2312" w:eastAsia="楷体_GB2312" w:hAnsi="楷体_GB2312" w:cs="楷体_GB2312" w:hint="eastAsia"/>
          <w:sz w:val="28"/>
          <w:szCs w:val="28"/>
        </w:rPr>
        <w:t>201</w:t>
      </w:r>
      <w:r>
        <w:rPr>
          <w:rFonts w:ascii="楷体_GB2312" w:eastAsia="楷体_GB2312" w:hAnsi="楷体_GB2312" w:cs="楷体_GB2312" w:hint="eastAsia"/>
          <w:sz w:val="28"/>
          <w:szCs w:val="28"/>
        </w:rPr>
        <w:t>7</w:t>
      </w:r>
      <w:r>
        <w:rPr>
          <w:rFonts w:ascii="楷体_GB2312" w:eastAsia="楷体_GB2312" w:hAnsi="楷体_GB2312" w:cs="楷体_GB2312" w:hint="eastAsia"/>
          <w:sz w:val="28"/>
          <w:szCs w:val="28"/>
        </w:rPr>
        <w:t>届毕业生中，毕业去向为考研升学或出国留学的有</w:t>
      </w:r>
      <w:r>
        <w:rPr>
          <w:rFonts w:ascii="楷体_GB2312" w:eastAsia="楷体_GB2312" w:hAnsi="楷体_GB2312" w:cs="楷体_GB2312" w:hint="eastAsia"/>
          <w:sz w:val="28"/>
          <w:szCs w:val="28"/>
        </w:rPr>
        <w:t>79</w:t>
      </w:r>
      <w:r>
        <w:rPr>
          <w:rFonts w:ascii="楷体_GB2312" w:eastAsia="楷体_GB2312" w:hAnsi="楷体_GB2312" w:cs="楷体_GB2312" w:hint="eastAsia"/>
          <w:sz w:val="28"/>
          <w:szCs w:val="28"/>
        </w:rPr>
        <w:t>人，升学出国率为</w:t>
      </w:r>
      <w:r>
        <w:rPr>
          <w:rFonts w:ascii="楷体_GB2312" w:eastAsia="楷体_GB2312" w:hAnsi="楷体_GB2312" w:cs="楷体_GB2312" w:hint="eastAsia"/>
          <w:sz w:val="28"/>
          <w:szCs w:val="28"/>
        </w:rPr>
        <w:t>4.36</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。其中</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考研升学的有</w:t>
      </w:r>
      <w:r>
        <w:rPr>
          <w:rFonts w:ascii="楷体_GB2312" w:eastAsia="楷体_GB2312" w:hAnsi="楷体_GB2312" w:cs="楷体_GB2312" w:hint="eastAsia"/>
          <w:sz w:val="28"/>
          <w:szCs w:val="28"/>
        </w:rPr>
        <w:t>72</w:t>
      </w:r>
      <w:r>
        <w:rPr>
          <w:rFonts w:ascii="楷体_GB2312" w:eastAsia="楷体_GB2312" w:hAnsi="楷体_GB2312" w:cs="楷体_GB2312" w:hint="eastAsia"/>
          <w:sz w:val="28"/>
          <w:szCs w:val="28"/>
        </w:rPr>
        <w:t>人</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占比</w:t>
      </w:r>
      <w:r>
        <w:rPr>
          <w:rFonts w:ascii="楷体_GB2312" w:eastAsia="楷体_GB2312" w:hAnsi="楷体_GB2312" w:cs="楷体_GB2312" w:hint="eastAsia"/>
          <w:sz w:val="28"/>
          <w:szCs w:val="28"/>
        </w:rPr>
        <w:t>为</w:t>
      </w:r>
      <w:r>
        <w:rPr>
          <w:rFonts w:ascii="楷体_GB2312" w:eastAsia="楷体_GB2312" w:hAnsi="楷体_GB2312" w:cs="楷体_GB2312" w:hint="eastAsia"/>
          <w:sz w:val="28"/>
          <w:szCs w:val="28"/>
        </w:rPr>
        <w:t>3.98</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出国留学的有</w:t>
      </w:r>
      <w:r>
        <w:rPr>
          <w:rFonts w:ascii="楷体_GB2312" w:eastAsia="楷体_GB2312" w:hAnsi="楷体_GB2312" w:cs="楷体_GB2312" w:hint="eastAsia"/>
          <w:sz w:val="28"/>
          <w:szCs w:val="28"/>
        </w:rPr>
        <w:t>7</w:t>
      </w:r>
      <w:r>
        <w:rPr>
          <w:rFonts w:ascii="楷体_GB2312" w:eastAsia="楷体_GB2312" w:hAnsi="楷体_GB2312" w:cs="楷体_GB2312" w:hint="eastAsia"/>
          <w:sz w:val="28"/>
          <w:szCs w:val="28"/>
        </w:rPr>
        <w:t>人</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占比为</w:t>
      </w:r>
      <w:r>
        <w:rPr>
          <w:rFonts w:ascii="楷体_GB2312" w:eastAsia="楷体_GB2312" w:hAnsi="楷体_GB2312" w:cs="楷体_GB2312" w:hint="eastAsia"/>
          <w:sz w:val="28"/>
          <w:szCs w:val="28"/>
        </w:rPr>
        <w:t>0.39</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。各学部升学出国情况见图</w:t>
      </w:r>
      <w:r>
        <w:rPr>
          <w:rFonts w:ascii="楷体_GB2312" w:eastAsia="楷体_GB2312" w:hAnsi="楷体_GB2312" w:cs="楷体_GB2312" w:hint="eastAsia"/>
          <w:sz w:val="28"/>
          <w:szCs w:val="28"/>
        </w:rPr>
        <w:t>1-8</w:t>
      </w:r>
      <w:r>
        <w:rPr>
          <w:rFonts w:ascii="楷体_GB2312" w:eastAsia="楷体_GB2312" w:hAnsi="楷体_GB2312" w:cs="楷体_GB2312" w:hint="eastAsia"/>
          <w:sz w:val="28"/>
          <w:szCs w:val="28"/>
        </w:rPr>
        <w:t>。</w:t>
      </w:r>
    </w:p>
    <w:p w:rsidR="00000000" w:rsidRDefault="006666D3">
      <w:pPr>
        <w:spacing w:line="480" w:lineRule="auto"/>
        <w:ind w:firstLineChars="200" w:firstLine="420"/>
        <w:jc w:val="center"/>
        <w:rPr>
          <w:rFonts w:ascii="楷体_GB2312" w:eastAsia="楷体_GB2312" w:hAnsi="楷体_GB2312" w:cs="楷体_GB2312"/>
          <w:sz w:val="28"/>
          <w:szCs w:val="28"/>
        </w:rPr>
      </w:pPr>
      <w:r>
        <w:rPr>
          <w:noProof/>
        </w:rPr>
        <w:drawing>
          <wp:inline distT="0" distB="0" distL="0" distR="0">
            <wp:extent cx="4553032" cy="2326990"/>
            <wp:effectExtent l="4426" t="3771" r="14542" b="12389"/>
            <wp:docPr id="11"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00000" w:rsidRDefault="009A1129">
      <w:pPr>
        <w:spacing w:line="480" w:lineRule="auto"/>
        <w:ind w:firstLineChars="200" w:firstLine="562"/>
        <w:jc w:val="center"/>
        <w:rPr>
          <w:rFonts w:ascii="楷体_GB2312" w:eastAsia="楷体_GB2312" w:hAnsi="楷体_GB2312" w:cs="楷体_GB2312" w:hint="eastAsia"/>
          <w:b/>
          <w:bCs/>
          <w:sz w:val="28"/>
          <w:szCs w:val="28"/>
        </w:rPr>
      </w:pP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 xml:space="preserve">1-8  </w:t>
      </w:r>
      <w:r>
        <w:rPr>
          <w:rFonts w:ascii="楷体_GB2312" w:eastAsia="楷体_GB2312" w:hAnsi="楷体_GB2312" w:cs="楷体_GB2312" w:hint="eastAsia"/>
          <w:b/>
          <w:bCs/>
          <w:sz w:val="28"/>
          <w:szCs w:val="28"/>
        </w:rPr>
        <w:t>各学部</w:t>
      </w:r>
      <w:r>
        <w:rPr>
          <w:rFonts w:ascii="楷体_GB2312" w:eastAsia="楷体_GB2312" w:hAnsi="楷体_GB2312" w:cs="楷体_GB2312" w:hint="eastAsia"/>
          <w:b/>
          <w:bCs/>
          <w:sz w:val="28"/>
          <w:szCs w:val="28"/>
        </w:rPr>
        <w:t>201</w:t>
      </w:r>
      <w:r>
        <w:rPr>
          <w:rFonts w:ascii="楷体_GB2312" w:eastAsia="楷体_GB2312" w:hAnsi="楷体_GB2312" w:cs="楷体_GB2312" w:hint="eastAsia"/>
          <w:b/>
          <w:bCs/>
          <w:sz w:val="28"/>
          <w:szCs w:val="28"/>
        </w:rPr>
        <w:t>7</w:t>
      </w:r>
      <w:r>
        <w:rPr>
          <w:rFonts w:ascii="楷体_GB2312" w:eastAsia="楷体_GB2312" w:hAnsi="楷体_GB2312" w:cs="楷体_GB2312" w:hint="eastAsia"/>
          <w:b/>
          <w:bCs/>
          <w:sz w:val="28"/>
          <w:szCs w:val="28"/>
        </w:rPr>
        <w:t>届毕业生升学出国率</w:t>
      </w:r>
    </w:p>
    <w:p w:rsidR="00000000" w:rsidRDefault="009A1129">
      <w:pPr>
        <w:spacing w:line="480" w:lineRule="auto"/>
        <w:ind w:firstLineChars="196" w:firstLine="551"/>
        <w:jc w:val="left"/>
        <w:rPr>
          <w:rFonts w:ascii="楷体_GB2312" w:eastAsia="楷体_GB2312" w:hAnsi="楷体_GB2312" w:cs="楷体_GB2312"/>
          <w:b/>
          <w:sz w:val="28"/>
          <w:szCs w:val="28"/>
        </w:rPr>
      </w:pPr>
      <w:r>
        <w:rPr>
          <w:rFonts w:ascii="楷体_GB2312" w:eastAsia="楷体_GB2312" w:hAnsi="楷体_GB2312" w:cs="楷体_GB2312" w:hint="eastAsia"/>
          <w:b/>
          <w:sz w:val="28"/>
          <w:szCs w:val="28"/>
        </w:rPr>
        <w:t>（</w:t>
      </w:r>
      <w:r>
        <w:rPr>
          <w:rFonts w:ascii="楷体_GB2312" w:eastAsia="楷体_GB2312" w:hAnsi="楷体_GB2312" w:cs="楷体_GB2312" w:hint="eastAsia"/>
          <w:b/>
          <w:sz w:val="28"/>
          <w:szCs w:val="28"/>
        </w:rPr>
        <w:t>2</w:t>
      </w:r>
      <w:r>
        <w:rPr>
          <w:rFonts w:ascii="楷体_GB2312" w:eastAsia="楷体_GB2312" w:hAnsi="楷体_GB2312" w:cs="楷体_GB2312" w:hint="eastAsia"/>
          <w:b/>
          <w:sz w:val="28"/>
          <w:szCs w:val="28"/>
        </w:rPr>
        <w:t>）升学出国专业与原专业的一致性</w:t>
      </w:r>
    </w:p>
    <w:p w:rsidR="00000000" w:rsidRDefault="009A1129">
      <w:pPr>
        <w:spacing w:line="480" w:lineRule="exact"/>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我院针对升学出国的</w:t>
      </w:r>
      <w:r>
        <w:rPr>
          <w:rFonts w:ascii="楷体_GB2312" w:eastAsia="楷体_GB2312" w:hAnsi="楷体_GB2312" w:cs="楷体_GB2312" w:hint="eastAsia"/>
          <w:sz w:val="28"/>
          <w:szCs w:val="28"/>
        </w:rPr>
        <w:t>79</w:t>
      </w:r>
      <w:r>
        <w:rPr>
          <w:rFonts w:ascii="楷体_GB2312" w:eastAsia="楷体_GB2312" w:hAnsi="楷体_GB2312" w:cs="楷体_GB2312" w:hint="eastAsia"/>
          <w:sz w:val="28"/>
          <w:szCs w:val="28"/>
        </w:rPr>
        <w:t>名学生进行调查</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选择升学出国的毕业生主要集中在临床医学专业，共</w:t>
      </w:r>
      <w:r>
        <w:rPr>
          <w:rFonts w:ascii="楷体_GB2312" w:eastAsia="楷体_GB2312" w:hAnsi="楷体_GB2312" w:cs="楷体_GB2312" w:hint="eastAsia"/>
          <w:sz w:val="28"/>
          <w:szCs w:val="28"/>
        </w:rPr>
        <w:t>22</w:t>
      </w:r>
      <w:r>
        <w:rPr>
          <w:rFonts w:ascii="楷体_GB2312" w:eastAsia="楷体_GB2312" w:hAnsi="楷体_GB2312" w:cs="楷体_GB2312" w:hint="eastAsia"/>
          <w:sz w:val="28"/>
          <w:szCs w:val="28"/>
        </w:rPr>
        <w:t>人，占升学出国总人数的</w:t>
      </w:r>
      <w:r>
        <w:rPr>
          <w:rFonts w:ascii="楷体_GB2312" w:eastAsia="楷体_GB2312" w:hAnsi="楷体_GB2312" w:cs="楷体_GB2312" w:hint="eastAsia"/>
          <w:sz w:val="28"/>
          <w:szCs w:val="28"/>
        </w:rPr>
        <w:t>27.85</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。所学专业与原专业一致或相近、相关者</w:t>
      </w:r>
      <w:r>
        <w:rPr>
          <w:rFonts w:ascii="楷体_GB2312" w:eastAsia="楷体_GB2312" w:hAnsi="楷体_GB2312" w:cs="楷体_GB2312" w:hint="eastAsia"/>
          <w:sz w:val="28"/>
          <w:szCs w:val="28"/>
        </w:rPr>
        <w:t>占比</w:t>
      </w:r>
      <w:r>
        <w:rPr>
          <w:rFonts w:ascii="楷体_GB2312" w:eastAsia="楷体_GB2312" w:hAnsi="楷体_GB2312" w:cs="楷体_GB2312" w:hint="eastAsia"/>
          <w:sz w:val="28"/>
          <w:szCs w:val="28"/>
        </w:rPr>
        <w:t>89.15%</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表明大部分毕业生是在本专业或相近、相关专业继续深造</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见图</w:t>
      </w:r>
      <w:r>
        <w:rPr>
          <w:rFonts w:ascii="楷体_GB2312" w:eastAsia="楷体_GB2312" w:hAnsi="楷体_GB2312" w:cs="楷体_GB2312" w:hint="eastAsia"/>
          <w:sz w:val="28"/>
          <w:szCs w:val="28"/>
        </w:rPr>
        <w:t>1-9</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w:t>
      </w:r>
    </w:p>
    <w:p w:rsidR="00000000" w:rsidRDefault="006666D3">
      <w:pPr>
        <w:spacing w:line="480" w:lineRule="auto"/>
        <w:ind w:firstLineChars="200" w:firstLine="420"/>
        <w:jc w:val="center"/>
        <w:rPr>
          <w:rFonts w:ascii="楷体_GB2312" w:eastAsia="楷体_GB2312" w:hAnsi="楷体_GB2312" w:cs="楷体_GB2312"/>
          <w:sz w:val="28"/>
          <w:szCs w:val="28"/>
        </w:rPr>
      </w:pPr>
      <w:r>
        <w:rPr>
          <w:noProof/>
        </w:rPr>
        <w:lastRenderedPageBreak/>
        <w:drawing>
          <wp:inline distT="0" distB="0" distL="0" distR="0">
            <wp:extent cx="4211551" cy="2525636"/>
            <wp:effectExtent l="4095" t="4092" r="13454" b="13447"/>
            <wp:docPr id="12" name="图片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00000" w:rsidRDefault="009A1129">
      <w:pPr>
        <w:spacing w:line="480" w:lineRule="auto"/>
        <w:ind w:firstLineChars="200" w:firstLine="562"/>
        <w:jc w:val="center"/>
        <w:rPr>
          <w:rFonts w:ascii="楷体_GB2312" w:eastAsia="楷体_GB2312" w:hAnsi="楷体_GB2312" w:cs="楷体_GB2312" w:hint="eastAsia"/>
          <w:b/>
          <w:bCs/>
          <w:sz w:val="28"/>
          <w:szCs w:val="28"/>
        </w:rPr>
      </w:pPr>
      <w:r>
        <w:rPr>
          <w:rFonts w:ascii="楷体_GB2312" w:eastAsia="楷体_GB2312" w:hAnsi="楷体_GB2312" w:cs="楷体_GB2312" w:hint="eastAsia"/>
          <w:b/>
          <w:bCs/>
          <w:sz w:val="28"/>
          <w:szCs w:val="28"/>
        </w:rPr>
        <w:t xml:space="preserve"> </w:t>
      </w: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1-9  201</w:t>
      </w:r>
      <w:r>
        <w:rPr>
          <w:rFonts w:ascii="楷体_GB2312" w:eastAsia="楷体_GB2312" w:hAnsi="楷体_GB2312" w:cs="楷体_GB2312" w:hint="eastAsia"/>
          <w:b/>
          <w:bCs/>
          <w:sz w:val="28"/>
          <w:szCs w:val="28"/>
        </w:rPr>
        <w:t>7</w:t>
      </w:r>
      <w:r>
        <w:rPr>
          <w:rFonts w:ascii="楷体_GB2312" w:eastAsia="楷体_GB2312" w:hAnsi="楷体_GB2312" w:cs="楷体_GB2312" w:hint="eastAsia"/>
          <w:b/>
          <w:bCs/>
          <w:sz w:val="28"/>
          <w:szCs w:val="28"/>
        </w:rPr>
        <w:t>届毕业生升学出国专业与原专业一致性情况</w:t>
      </w:r>
    </w:p>
    <w:p w:rsidR="00000000" w:rsidRDefault="009A1129">
      <w:pPr>
        <w:spacing w:line="480" w:lineRule="auto"/>
        <w:ind w:firstLineChars="196" w:firstLine="551"/>
        <w:jc w:val="left"/>
        <w:rPr>
          <w:rFonts w:ascii="楷体_GB2312" w:eastAsia="楷体_GB2312" w:hAnsi="楷体_GB2312" w:cs="楷体_GB2312"/>
          <w:b/>
          <w:sz w:val="28"/>
          <w:szCs w:val="28"/>
        </w:rPr>
      </w:pPr>
      <w:r>
        <w:rPr>
          <w:rFonts w:ascii="楷体_GB2312" w:eastAsia="楷体_GB2312" w:hAnsi="楷体_GB2312" w:cs="楷体_GB2312" w:hint="eastAsia"/>
          <w:b/>
          <w:sz w:val="28"/>
          <w:szCs w:val="28"/>
        </w:rPr>
        <w:t>（</w:t>
      </w:r>
      <w:r>
        <w:rPr>
          <w:rFonts w:ascii="楷体_GB2312" w:eastAsia="楷体_GB2312" w:hAnsi="楷体_GB2312" w:cs="楷体_GB2312" w:hint="eastAsia"/>
          <w:b/>
          <w:sz w:val="28"/>
          <w:szCs w:val="28"/>
        </w:rPr>
        <w:t>3</w:t>
      </w:r>
      <w:r>
        <w:rPr>
          <w:rFonts w:ascii="楷体_GB2312" w:eastAsia="楷体_GB2312" w:hAnsi="楷体_GB2312" w:cs="楷体_GB2312" w:hint="eastAsia"/>
          <w:b/>
          <w:sz w:val="28"/>
          <w:szCs w:val="28"/>
        </w:rPr>
        <w:t>）升学原因</w:t>
      </w:r>
    </w:p>
    <w:p w:rsidR="00000000" w:rsidRDefault="009A1129">
      <w:pPr>
        <w:spacing w:line="480" w:lineRule="exact"/>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我院</w:t>
      </w:r>
      <w:r>
        <w:rPr>
          <w:rFonts w:ascii="楷体_GB2312" w:eastAsia="楷体_GB2312" w:hAnsi="楷体_GB2312" w:cs="楷体_GB2312" w:hint="eastAsia"/>
          <w:sz w:val="28"/>
          <w:szCs w:val="28"/>
        </w:rPr>
        <w:t>201</w:t>
      </w:r>
      <w:r>
        <w:rPr>
          <w:rFonts w:ascii="楷体_GB2312" w:eastAsia="楷体_GB2312" w:hAnsi="楷体_GB2312" w:cs="楷体_GB2312" w:hint="eastAsia"/>
          <w:sz w:val="28"/>
          <w:szCs w:val="28"/>
        </w:rPr>
        <w:t>7</w:t>
      </w:r>
      <w:r>
        <w:rPr>
          <w:rFonts w:ascii="楷体_GB2312" w:eastAsia="楷体_GB2312" w:hAnsi="楷体_GB2312" w:cs="楷体_GB2312" w:hint="eastAsia"/>
          <w:sz w:val="28"/>
          <w:szCs w:val="28"/>
        </w:rPr>
        <w:t>届毕业</w:t>
      </w:r>
      <w:r>
        <w:rPr>
          <w:rFonts w:ascii="楷体_GB2312" w:eastAsia="楷体_GB2312" w:hAnsi="楷体_GB2312" w:cs="楷体_GB2312" w:hint="eastAsia"/>
          <w:sz w:val="28"/>
          <w:szCs w:val="28"/>
        </w:rPr>
        <w:t>生选择升学出国的主要原因是“</w:t>
      </w:r>
      <w:r>
        <w:rPr>
          <w:rFonts w:ascii="楷体_GB2312" w:eastAsia="楷体_GB2312" w:hAnsi="楷体_GB2312" w:cs="楷体_GB2312" w:hint="eastAsia"/>
          <w:sz w:val="28"/>
          <w:szCs w:val="28"/>
        </w:rPr>
        <w:t>提高学历层次</w:t>
      </w:r>
      <w:r>
        <w:rPr>
          <w:rFonts w:ascii="楷体_GB2312" w:eastAsia="楷体_GB2312" w:hAnsi="楷体_GB2312" w:cs="楷体_GB2312" w:hint="eastAsia"/>
          <w:sz w:val="28"/>
          <w:szCs w:val="28"/>
        </w:rPr>
        <w:t>”，占比</w:t>
      </w:r>
      <w:r>
        <w:rPr>
          <w:rFonts w:ascii="楷体_GB2312" w:eastAsia="楷体_GB2312" w:hAnsi="楷体_GB2312" w:cs="楷体_GB2312" w:hint="eastAsia"/>
          <w:sz w:val="28"/>
          <w:szCs w:val="28"/>
        </w:rPr>
        <w:t>45.75</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；其次是“</w:t>
      </w:r>
      <w:r>
        <w:rPr>
          <w:rFonts w:ascii="楷体_GB2312" w:eastAsia="楷体_GB2312" w:hAnsi="楷体_GB2312" w:cs="楷体_GB2312" w:hint="eastAsia"/>
          <w:sz w:val="28"/>
          <w:szCs w:val="28"/>
        </w:rPr>
        <w:t>专业深造</w:t>
      </w:r>
      <w:r>
        <w:rPr>
          <w:rFonts w:ascii="楷体_GB2312" w:eastAsia="楷体_GB2312" w:hAnsi="楷体_GB2312" w:cs="楷体_GB2312" w:hint="eastAsia"/>
          <w:sz w:val="28"/>
          <w:szCs w:val="28"/>
        </w:rPr>
        <w:t>”和“增加择业资本”，占比分别为</w:t>
      </w:r>
      <w:r>
        <w:rPr>
          <w:rFonts w:ascii="楷体_GB2312" w:eastAsia="楷体_GB2312" w:hAnsi="楷体_GB2312" w:cs="楷体_GB2312" w:hint="eastAsia"/>
          <w:sz w:val="28"/>
          <w:szCs w:val="28"/>
        </w:rPr>
        <w:t>31.13</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14.15</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见图</w:t>
      </w:r>
      <w:r>
        <w:rPr>
          <w:rFonts w:ascii="楷体_GB2312" w:eastAsia="楷体_GB2312" w:hAnsi="楷体_GB2312" w:cs="楷体_GB2312" w:hint="eastAsia"/>
          <w:sz w:val="28"/>
          <w:szCs w:val="28"/>
        </w:rPr>
        <w:t>1-10</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w:t>
      </w:r>
    </w:p>
    <w:p w:rsidR="00000000" w:rsidRDefault="006666D3">
      <w:pPr>
        <w:spacing w:line="480" w:lineRule="auto"/>
        <w:ind w:firstLineChars="200" w:firstLine="420"/>
        <w:jc w:val="center"/>
        <w:rPr>
          <w:rFonts w:ascii="楷体_GB2312" w:eastAsia="楷体_GB2312" w:hAnsi="楷体_GB2312" w:cs="楷体_GB2312"/>
          <w:sz w:val="28"/>
          <w:szCs w:val="28"/>
        </w:rPr>
      </w:pPr>
      <w:r>
        <w:rPr>
          <w:noProof/>
        </w:rPr>
        <w:drawing>
          <wp:inline distT="0" distB="0" distL="0" distR="0">
            <wp:extent cx="4040813" cy="2147264"/>
            <wp:effectExtent l="3929" t="3479" r="12908" b="11432"/>
            <wp:docPr id="13"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00000" w:rsidRDefault="009A1129">
      <w:pPr>
        <w:spacing w:line="480" w:lineRule="auto"/>
        <w:ind w:firstLineChars="200" w:firstLine="562"/>
        <w:jc w:val="center"/>
        <w:rPr>
          <w:rFonts w:ascii="楷体_GB2312" w:eastAsia="楷体_GB2312" w:hAnsi="楷体_GB2312" w:cs="楷体_GB2312" w:hint="eastAsia"/>
          <w:b/>
          <w:bCs/>
          <w:sz w:val="28"/>
          <w:szCs w:val="28"/>
        </w:rPr>
      </w:pP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1-10  201</w:t>
      </w:r>
      <w:r>
        <w:rPr>
          <w:rFonts w:ascii="楷体_GB2312" w:eastAsia="楷体_GB2312" w:hAnsi="楷体_GB2312" w:cs="楷体_GB2312" w:hint="eastAsia"/>
          <w:b/>
          <w:bCs/>
          <w:sz w:val="28"/>
          <w:szCs w:val="28"/>
        </w:rPr>
        <w:t>7</w:t>
      </w:r>
      <w:r>
        <w:rPr>
          <w:rFonts w:ascii="楷体_GB2312" w:eastAsia="楷体_GB2312" w:hAnsi="楷体_GB2312" w:cs="楷体_GB2312" w:hint="eastAsia"/>
          <w:b/>
          <w:bCs/>
          <w:sz w:val="28"/>
          <w:szCs w:val="28"/>
        </w:rPr>
        <w:t>届毕业生升学出国原因</w:t>
      </w:r>
    </w:p>
    <w:p w:rsidR="00000000" w:rsidRDefault="009A1129">
      <w:pPr>
        <w:spacing w:line="480" w:lineRule="auto"/>
        <w:jc w:val="left"/>
        <w:rPr>
          <w:rFonts w:ascii="楷体_GB2312" w:eastAsia="楷体_GB2312" w:hAnsi="楷体_GB2312" w:cs="楷体_GB2312"/>
          <w:b/>
          <w:sz w:val="28"/>
          <w:szCs w:val="28"/>
        </w:rPr>
      </w:pPr>
      <w:r>
        <w:rPr>
          <w:rFonts w:ascii="楷体_GB2312" w:eastAsia="楷体_GB2312" w:hAnsi="楷体_GB2312" w:cs="楷体_GB2312" w:hint="eastAsia"/>
          <w:b/>
          <w:sz w:val="28"/>
          <w:szCs w:val="28"/>
        </w:rPr>
        <w:t>3</w:t>
      </w:r>
      <w:r>
        <w:rPr>
          <w:rFonts w:ascii="楷体_GB2312" w:eastAsia="楷体_GB2312" w:hAnsi="楷体_GB2312" w:cs="楷体_GB2312" w:hint="eastAsia"/>
          <w:b/>
          <w:sz w:val="28"/>
          <w:szCs w:val="28"/>
        </w:rPr>
        <w:t>、灵活就业情况</w:t>
      </w:r>
    </w:p>
    <w:p w:rsidR="00000000" w:rsidRDefault="009A1129">
      <w:pPr>
        <w:spacing w:line="480" w:lineRule="auto"/>
        <w:ind w:firstLineChars="200" w:firstLine="560"/>
        <w:jc w:val="left"/>
        <w:rPr>
          <w:rFonts w:ascii="楷体_GB2312" w:eastAsia="楷体_GB2312" w:hAnsi="楷体_GB2312" w:cs="楷体_GB2312" w:hint="eastAsia"/>
          <w:sz w:val="28"/>
          <w:szCs w:val="28"/>
        </w:rPr>
      </w:pPr>
      <w:r>
        <w:rPr>
          <w:rFonts w:ascii="楷体_GB2312" w:eastAsia="楷体_GB2312" w:hAnsi="楷体_GB2312" w:cs="楷体_GB2312" w:hint="eastAsia"/>
          <w:sz w:val="28"/>
          <w:szCs w:val="28"/>
        </w:rPr>
        <w:t>201</w:t>
      </w:r>
      <w:r>
        <w:rPr>
          <w:rFonts w:ascii="楷体_GB2312" w:eastAsia="楷体_GB2312" w:hAnsi="楷体_GB2312" w:cs="楷体_GB2312" w:hint="eastAsia"/>
          <w:sz w:val="28"/>
          <w:szCs w:val="28"/>
        </w:rPr>
        <w:t>7</w:t>
      </w:r>
      <w:r>
        <w:rPr>
          <w:rFonts w:ascii="楷体_GB2312" w:eastAsia="楷体_GB2312" w:hAnsi="楷体_GB2312" w:cs="楷体_GB2312" w:hint="eastAsia"/>
          <w:sz w:val="28"/>
          <w:szCs w:val="28"/>
        </w:rPr>
        <w:t>届已就业的毕业生中，灵活就业者</w:t>
      </w:r>
      <w:r>
        <w:rPr>
          <w:rFonts w:ascii="楷体_GB2312" w:eastAsia="楷体_GB2312" w:hAnsi="楷体_GB2312" w:cs="楷体_GB2312" w:hint="eastAsia"/>
          <w:sz w:val="28"/>
          <w:szCs w:val="28"/>
        </w:rPr>
        <w:t>94</w:t>
      </w:r>
      <w:r>
        <w:rPr>
          <w:rFonts w:ascii="楷体_GB2312" w:eastAsia="楷体_GB2312" w:hAnsi="楷体_GB2312" w:cs="楷体_GB2312" w:hint="eastAsia"/>
          <w:sz w:val="28"/>
          <w:szCs w:val="28"/>
        </w:rPr>
        <w:t>人，占毕业生总数的</w:t>
      </w:r>
      <w:r>
        <w:rPr>
          <w:rFonts w:ascii="楷体_GB2312" w:eastAsia="楷体_GB2312" w:hAnsi="楷体_GB2312" w:cs="楷体_GB2312" w:hint="eastAsia"/>
          <w:sz w:val="28"/>
          <w:szCs w:val="28"/>
        </w:rPr>
        <w:t>5.19</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，大部分是医学部学生。主要原因是医学生在通过当地统一考试、并试用期满后，才能签定就业协议或者合同。</w:t>
      </w:r>
    </w:p>
    <w:p w:rsidR="00000000" w:rsidRDefault="009A1129">
      <w:pPr>
        <w:spacing w:line="480" w:lineRule="auto"/>
        <w:jc w:val="left"/>
        <w:rPr>
          <w:rFonts w:ascii="楷体_GB2312" w:eastAsia="楷体_GB2312" w:hAnsi="楷体_GB2312" w:cs="楷体_GB2312"/>
          <w:b/>
          <w:sz w:val="28"/>
          <w:szCs w:val="28"/>
        </w:rPr>
      </w:pPr>
      <w:r>
        <w:rPr>
          <w:rFonts w:ascii="楷体_GB2312" w:eastAsia="楷体_GB2312" w:hAnsi="楷体_GB2312" w:cs="楷体_GB2312" w:hint="eastAsia"/>
          <w:b/>
          <w:sz w:val="28"/>
          <w:szCs w:val="28"/>
        </w:rPr>
        <w:t>4</w:t>
      </w:r>
      <w:r>
        <w:rPr>
          <w:rFonts w:ascii="楷体_GB2312" w:eastAsia="楷体_GB2312" w:hAnsi="楷体_GB2312" w:cs="楷体_GB2312" w:hint="eastAsia"/>
          <w:b/>
          <w:sz w:val="28"/>
          <w:szCs w:val="28"/>
        </w:rPr>
        <w:t>、未就业情况</w:t>
      </w:r>
    </w:p>
    <w:p w:rsidR="00000000" w:rsidRDefault="009A1129">
      <w:pPr>
        <w:spacing w:line="480" w:lineRule="auto"/>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lastRenderedPageBreak/>
        <w:t>未就业包括“待就业”“不就业拟升学”和“其他暂不就业”三种情况。截至</w:t>
      </w:r>
      <w:r>
        <w:rPr>
          <w:rFonts w:ascii="楷体_GB2312" w:eastAsia="楷体_GB2312" w:hAnsi="楷体_GB2312" w:cs="楷体_GB2312" w:hint="eastAsia"/>
          <w:sz w:val="28"/>
          <w:szCs w:val="28"/>
        </w:rPr>
        <w:t>201</w:t>
      </w:r>
      <w:r>
        <w:rPr>
          <w:rFonts w:ascii="楷体_GB2312" w:eastAsia="楷体_GB2312" w:hAnsi="楷体_GB2312" w:cs="楷体_GB2312" w:hint="eastAsia"/>
          <w:sz w:val="28"/>
          <w:szCs w:val="28"/>
        </w:rPr>
        <w:t>7</w:t>
      </w:r>
      <w:r>
        <w:rPr>
          <w:rFonts w:ascii="楷体_GB2312" w:eastAsia="楷体_GB2312" w:hAnsi="楷体_GB2312" w:cs="楷体_GB2312" w:hint="eastAsia"/>
          <w:sz w:val="28"/>
          <w:szCs w:val="28"/>
        </w:rPr>
        <w:t>年</w:t>
      </w:r>
      <w:r>
        <w:rPr>
          <w:rFonts w:ascii="楷体_GB2312" w:eastAsia="楷体_GB2312" w:hAnsi="楷体_GB2312" w:cs="楷体_GB2312" w:hint="eastAsia"/>
          <w:sz w:val="28"/>
          <w:szCs w:val="28"/>
        </w:rPr>
        <w:t>12</w:t>
      </w:r>
      <w:r>
        <w:rPr>
          <w:rFonts w:ascii="楷体_GB2312" w:eastAsia="楷体_GB2312" w:hAnsi="楷体_GB2312" w:cs="楷体_GB2312" w:hint="eastAsia"/>
          <w:sz w:val="28"/>
          <w:szCs w:val="28"/>
        </w:rPr>
        <w:t>月</w:t>
      </w:r>
      <w:r>
        <w:rPr>
          <w:rFonts w:ascii="楷体_GB2312" w:eastAsia="楷体_GB2312" w:hAnsi="楷体_GB2312" w:cs="楷体_GB2312" w:hint="eastAsia"/>
          <w:sz w:val="28"/>
          <w:szCs w:val="28"/>
        </w:rPr>
        <w:t>2</w:t>
      </w:r>
      <w:r>
        <w:rPr>
          <w:rFonts w:ascii="楷体_GB2312" w:eastAsia="楷体_GB2312" w:hAnsi="楷体_GB2312" w:cs="楷体_GB2312" w:hint="eastAsia"/>
          <w:sz w:val="28"/>
          <w:szCs w:val="28"/>
        </w:rPr>
        <w:t>5</w:t>
      </w:r>
      <w:r>
        <w:rPr>
          <w:rFonts w:ascii="楷体_GB2312" w:eastAsia="楷体_GB2312" w:hAnsi="楷体_GB2312" w:cs="楷体_GB2312" w:hint="eastAsia"/>
          <w:sz w:val="28"/>
          <w:szCs w:val="28"/>
        </w:rPr>
        <w:t>日，</w:t>
      </w:r>
      <w:r>
        <w:rPr>
          <w:rFonts w:ascii="楷体_GB2312" w:eastAsia="楷体_GB2312" w:hAnsi="楷体_GB2312" w:cs="楷体_GB2312" w:hint="eastAsia"/>
          <w:sz w:val="28"/>
          <w:szCs w:val="28"/>
        </w:rPr>
        <w:t>201</w:t>
      </w:r>
      <w:r>
        <w:rPr>
          <w:rFonts w:ascii="楷体_GB2312" w:eastAsia="楷体_GB2312" w:hAnsi="楷体_GB2312" w:cs="楷体_GB2312" w:hint="eastAsia"/>
          <w:sz w:val="28"/>
          <w:szCs w:val="28"/>
        </w:rPr>
        <w:t>7</w:t>
      </w:r>
      <w:r>
        <w:rPr>
          <w:rFonts w:ascii="楷体_GB2312" w:eastAsia="楷体_GB2312" w:hAnsi="楷体_GB2312" w:cs="楷体_GB2312" w:hint="eastAsia"/>
          <w:sz w:val="28"/>
          <w:szCs w:val="28"/>
        </w:rPr>
        <w:t>届毕</w:t>
      </w:r>
      <w:r>
        <w:rPr>
          <w:rFonts w:ascii="楷体_GB2312" w:eastAsia="楷体_GB2312" w:hAnsi="楷体_GB2312" w:cs="楷体_GB2312" w:hint="eastAsia"/>
          <w:sz w:val="28"/>
          <w:szCs w:val="28"/>
        </w:rPr>
        <w:t>业生未就业人数为</w:t>
      </w:r>
      <w:r>
        <w:rPr>
          <w:rFonts w:ascii="楷体_GB2312" w:eastAsia="楷体_GB2312" w:hAnsi="楷体_GB2312" w:cs="楷体_GB2312" w:hint="eastAsia"/>
          <w:sz w:val="28"/>
          <w:szCs w:val="28"/>
        </w:rPr>
        <w:t>40</w:t>
      </w:r>
      <w:r>
        <w:rPr>
          <w:rFonts w:ascii="楷体_GB2312" w:eastAsia="楷体_GB2312" w:hAnsi="楷体_GB2312" w:cs="楷体_GB2312" w:hint="eastAsia"/>
          <w:sz w:val="28"/>
          <w:szCs w:val="28"/>
        </w:rPr>
        <w:t>人</w:t>
      </w:r>
      <w:r>
        <w:rPr>
          <w:rFonts w:ascii="楷体_GB2312" w:eastAsia="楷体_GB2312" w:hAnsi="楷体_GB2312" w:cs="楷体_GB2312" w:hint="eastAsia"/>
          <w:sz w:val="28"/>
          <w:szCs w:val="28"/>
        </w:rPr>
        <w:t xml:space="preserve">, </w:t>
      </w:r>
      <w:r>
        <w:rPr>
          <w:rFonts w:ascii="楷体_GB2312" w:eastAsia="楷体_GB2312" w:hAnsi="楷体_GB2312" w:cs="楷体_GB2312" w:hint="eastAsia"/>
          <w:sz w:val="28"/>
          <w:szCs w:val="28"/>
        </w:rPr>
        <w:t>占毕业生总数的</w:t>
      </w:r>
      <w:r>
        <w:rPr>
          <w:rFonts w:ascii="楷体_GB2312" w:eastAsia="楷体_GB2312" w:hAnsi="楷体_GB2312" w:cs="楷体_GB2312" w:hint="eastAsia"/>
          <w:sz w:val="28"/>
          <w:szCs w:val="28"/>
        </w:rPr>
        <w:t>2.21</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，各学部未就业情况见图</w:t>
      </w:r>
      <w:r>
        <w:rPr>
          <w:rFonts w:ascii="楷体_GB2312" w:eastAsia="楷体_GB2312" w:hAnsi="楷体_GB2312" w:cs="楷体_GB2312" w:hint="eastAsia"/>
          <w:sz w:val="28"/>
          <w:szCs w:val="28"/>
        </w:rPr>
        <w:t>1-11</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 xml:space="preserve"> </w:t>
      </w:r>
    </w:p>
    <w:p w:rsidR="00000000" w:rsidRDefault="006666D3">
      <w:pPr>
        <w:spacing w:line="480" w:lineRule="auto"/>
        <w:jc w:val="center"/>
        <w:rPr>
          <w:rFonts w:ascii="楷体_GB2312" w:eastAsia="楷体_GB2312" w:hAnsi="楷体_GB2312" w:cs="楷体_GB2312"/>
          <w:sz w:val="28"/>
          <w:szCs w:val="28"/>
        </w:rPr>
      </w:pPr>
      <w:r>
        <w:rPr>
          <w:noProof/>
        </w:rPr>
        <w:drawing>
          <wp:inline distT="0" distB="0" distL="0" distR="0">
            <wp:extent cx="5030091" cy="2534545"/>
            <wp:effectExtent l="4237" t="4236" r="13922" b="13919"/>
            <wp:docPr id="1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00000" w:rsidRDefault="009A1129">
      <w:pPr>
        <w:spacing w:line="480" w:lineRule="auto"/>
        <w:ind w:firstLineChars="200" w:firstLine="562"/>
        <w:jc w:val="center"/>
        <w:rPr>
          <w:rFonts w:ascii="楷体_GB2312" w:eastAsia="楷体_GB2312" w:hAnsi="楷体_GB2312" w:cs="楷体_GB2312" w:hint="eastAsia"/>
          <w:b/>
          <w:bCs/>
          <w:sz w:val="28"/>
          <w:szCs w:val="28"/>
        </w:rPr>
      </w:pP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 xml:space="preserve">1-11 </w:t>
      </w:r>
      <w:r>
        <w:rPr>
          <w:rFonts w:ascii="楷体_GB2312" w:eastAsia="楷体_GB2312" w:hAnsi="楷体_GB2312" w:cs="楷体_GB2312" w:hint="eastAsia"/>
          <w:b/>
          <w:bCs/>
          <w:sz w:val="28"/>
          <w:szCs w:val="28"/>
        </w:rPr>
        <w:t>各学部</w:t>
      </w:r>
      <w:r>
        <w:rPr>
          <w:rFonts w:ascii="楷体_GB2312" w:eastAsia="楷体_GB2312" w:hAnsi="楷体_GB2312" w:cs="楷体_GB2312" w:hint="eastAsia"/>
          <w:b/>
          <w:bCs/>
          <w:sz w:val="28"/>
          <w:szCs w:val="28"/>
        </w:rPr>
        <w:t>201</w:t>
      </w:r>
      <w:r>
        <w:rPr>
          <w:rFonts w:ascii="楷体_GB2312" w:eastAsia="楷体_GB2312" w:hAnsi="楷体_GB2312" w:cs="楷体_GB2312" w:hint="eastAsia"/>
          <w:b/>
          <w:bCs/>
          <w:sz w:val="28"/>
          <w:szCs w:val="28"/>
        </w:rPr>
        <w:t>7</w:t>
      </w:r>
      <w:r>
        <w:rPr>
          <w:rFonts w:ascii="楷体_GB2312" w:eastAsia="楷体_GB2312" w:hAnsi="楷体_GB2312" w:cs="楷体_GB2312" w:hint="eastAsia"/>
          <w:b/>
          <w:bCs/>
          <w:sz w:val="28"/>
          <w:szCs w:val="28"/>
        </w:rPr>
        <w:t>届毕业生未就业率</w:t>
      </w:r>
    </w:p>
    <w:p w:rsidR="00000000" w:rsidRDefault="009A1129">
      <w:pPr>
        <w:spacing w:line="480" w:lineRule="auto"/>
        <w:ind w:firstLineChars="200" w:firstLine="562"/>
        <w:jc w:val="center"/>
        <w:rPr>
          <w:rFonts w:ascii="楷体_GB2312" w:eastAsia="楷体_GB2312" w:hAnsi="楷体_GB2312" w:cs="楷体_GB2312" w:hint="eastAsia"/>
          <w:b/>
          <w:bCs/>
          <w:sz w:val="28"/>
          <w:szCs w:val="28"/>
        </w:rPr>
      </w:pPr>
    </w:p>
    <w:p w:rsidR="00000000" w:rsidRDefault="009A1129">
      <w:pPr>
        <w:spacing w:line="480" w:lineRule="auto"/>
        <w:jc w:val="left"/>
        <w:rPr>
          <w:rFonts w:ascii="楷体_GB2312" w:eastAsia="楷体_GB2312" w:hAnsi="楷体_GB2312" w:cs="楷体_GB2312"/>
          <w:b/>
          <w:sz w:val="28"/>
          <w:szCs w:val="28"/>
        </w:rPr>
      </w:pPr>
      <w:r>
        <w:rPr>
          <w:rFonts w:ascii="楷体_GB2312" w:eastAsia="楷体_GB2312" w:hAnsi="楷体_GB2312" w:cs="楷体_GB2312" w:hint="eastAsia"/>
          <w:b/>
          <w:sz w:val="28"/>
          <w:szCs w:val="28"/>
        </w:rPr>
        <w:t>（二）不同性别毕业生的毕业流向</w:t>
      </w:r>
    </w:p>
    <w:p w:rsidR="00000000" w:rsidRDefault="009A1129">
      <w:pPr>
        <w:spacing w:line="480" w:lineRule="auto"/>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201</w:t>
      </w:r>
      <w:r>
        <w:rPr>
          <w:rFonts w:ascii="楷体_GB2312" w:eastAsia="楷体_GB2312" w:hAnsi="楷体_GB2312" w:cs="楷体_GB2312" w:hint="eastAsia"/>
          <w:sz w:val="28"/>
          <w:szCs w:val="28"/>
        </w:rPr>
        <w:t>7</w:t>
      </w:r>
      <w:r>
        <w:rPr>
          <w:rFonts w:ascii="楷体_GB2312" w:eastAsia="楷体_GB2312" w:hAnsi="楷体_GB2312" w:cs="楷体_GB2312" w:hint="eastAsia"/>
          <w:sz w:val="28"/>
          <w:szCs w:val="28"/>
        </w:rPr>
        <w:t>届毕业生中，女生单位就业率、灵活就业率高于男生，而升学出国率、未就业率低于男生</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见图</w:t>
      </w:r>
      <w:r>
        <w:rPr>
          <w:rFonts w:ascii="楷体_GB2312" w:eastAsia="楷体_GB2312" w:hAnsi="楷体_GB2312" w:cs="楷体_GB2312" w:hint="eastAsia"/>
          <w:sz w:val="28"/>
          <w:szCs w:val="28"/>
        </w:rPr>
        <w:t>1-12</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 xml:space="preserve">   </w:t>
      </w:r>
    </w:p>
    <w:p w:rsidR="00000000" w:rsidRDefault="006666D3">
      <w:pPr>
        <w:spacing w:line="480" w:lineRule="auto"/>
        <w:ind w:firstLineChars="200" w:firstLine="420"/>
        <w:jc w:val="center"/>
        <w:rPr>
          <w:rFonts w:ascii="楷体_GB2312" w:eastAsia="楷体_GB2312" w:hAnsi="楷体_GB2312" w:cs="楷体_GB2312"/>
          <w:sz w:val="28"/>
          <w:szCs w:val="28"/>
        </w:rPr>
      </w:pPr>
      <w:r>
        <w:rPr>
          <w:noProof/>
        </w:rPr>
        <w:drawing>
          <wp:inline distT="0" distB="0" distL="0" distR="0">
            <wp:extent cx="4572000" cy="2355368"/>
            <wp:effectExtent l="4445" t="3817" r="14605" b="12540"/>
            <wp:docPr id="15" name="图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00000" w:rsidRDefault="009A1129">
      <w:pPr>
        <w:spacing w:line="480" w:lineRule="auto"/>
        <w:ind w:firstLineChars="200" w:firstLine="562"/>
        <w:jc w:val="center"/>
        <w:rPr>
          <w:rFonts w:ascii="楷体_GB2312" w:eastAsia="楷体_GB2312" w:hAnsi="楷体_GB2312" w:cs="楷体_GB2312" w:hint="eastAsia"/>
          <w:b/>
          <w:bCs/>
          <w:sz w:val="28"/>
          <w:szCs w:val="28"/>
        </w:rPr>
      </w:pP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1-12  201</w:t>
      </w:r>
      <w:r>
        <w:rPr>
          <w:rFonts w:ascii="楷体_GB2312" w:eastAsia="楷体_GB2312" w:hAnsi="楷体_GB2312" w:cs="楷体_GB2312" w:hint="eastAsia"/>
          <w:b/>
          <w:bCs/>
          <w:sz w:val="28"/>
          <w:szCs w:val="28"/>
        </w:rPr>
        <w:t>7</w:t>
      </w:r>
      <w:r>
        <w:rPr>
          <w:rFonts w:ascii="楷体_GB2312" w:eastAsia="楷体_GB2312" w:hAnsi="楷体_GB2312" w:cs="楷体_GB2312" w:hint="eastAsia"/>
          <w:b/>
          <w:bCs/>
          <w:sz w:val="28"/>
          <w:szCs w:val="28"/>
        </w:rPr>
        <w:t>届不同性别毕业生的毕业流向</w:t>
      </w:r>
    </w:p>
    <w:p w:rsidR="00000000" w:rsidRDefault="009A1129">
      <w:pPr>
        <w:spacing w:line="480" w:lineRule="auto"/>
        <w:jc w:val="left"/>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lastRenderedPageBreak/>
        <w:t>五、就业分布</w:t>
      </w:r>
    </w:p>
    <w:p w:rsidR="00000000" w:rsidRDefault="009A1129">
      <w:pPr>
        <w:spacing w:line="480" w:lineRule="auto"/>
        <w:jc w:val="left"/>
        <w:rPr>
          <w:rFonts w:ascii="楷体_GB2312" w:eastAsia="楷体_GB2312" w:hAnsi="楷体_GB2312" w:cs="楷体_GB2312"/>
          <w:b/>
          <w:sz w:val="32"/>
          <w:szCs w:val="32"/>
        </w:rPr>
      </w:pPr>
      <w:r>
        <w:rPr>
          <w:rFonts w:ascii="楷体_GB2312" w:eastAsia="楷体_GB2312" w:hAnsi="楷体_GB2312" w:cs="楷体_GB2312" w:hint="eastAsia"/>
          <w:b/>
          <w:sz w:val="32"/>
          <w:szCs w:val="32"/>
        </w:rPr>
        <w:t>（一）毕业生就业单位统计</w:t>
      </w:r>
    </w:p>
    <w:p w:rsidR="00000000" w:rsidRDefault="009A1129">
      <w:pPr>
        <w:pStyle w:val="aa"/>
        <w:ind w:firstLineChars="200" w:firstLine="560"/>
        <w:rPr>
          <w:rFonts w:ascii="楷体_GB2312" w:eastAsia="楷体_GB2312" w:hAnsi="楷体_GB2312" w:cs="楷体_GB2312"/>
          <w:sz w:val="28"/>
          <w:szCs w:val="28"/>
        </w:rPr>
      </w:pPr>
      <w:r>
        <w:rPr>
          <w:rFonts w:ascii="楷体_GB2312" w:eastAsia="楷体_GB2312" w:hAnsi="楷体_GB2312" w:cs="楷体_GB2312" w:hint="eastAsia"/>
          <w:sz w:val="28"/>
          <w:szCs w:val="28"/>
        </w:rPr>
        <w:t>我院</w:t>
      </w:r>
      <w:r>
        <w:rPr>
          <w:rFonts w:ascii="楷体_GB2312" w:eastAsia="楷体_GB2312" w:hAnsi="楷体_GB2312" w:cs="楷体_GB2312" w:hint="eastAsia"/>
          <w:sz w:val="28"/>
          <w:szCs w:val="28"/>
        </w:rPr>
        <w:t>201</w:t>
      </w:r>
      <w:r>
        <w:rPr>
          <w:rFonts w:ascii="楷体_GB2312" w:eastAsia="楷体_GB2312" w:hAnsi="楷体_GB2312" w:cs="楷体_GB2312" w:hint="eastAsia"/>
          <w:sz w:val="28"/>
          <w:szCs w:val="28"/>
        </w:rPr>
        <w:t>7</w:t>
      </w:r>
      <w:r>
        <w:rPr>
          <w:rFonts w:ascii="楷体_GB2312" w:eastAsia="楷体_GB2312" w:hAnsi="楷体_GB2312" w:cs="楷体_GB2312" w:hint="eastAsia"/>
          <w:sz w:val="28"/>
          <w:szCs w:val="28"/>
        </w:rPr>
        <w:t>届毕业生就业单位的类型涵</w:t>
      </w:r>
      <w:r>
        <w:rPr>
          <w:rFonts w:ascii="楷体_GB2312" w:eastAsia="楷体_GB2312" w:hAnsi="楷体_GB2312" w:cs="楷体_GB2312" w:hint="eastAsia"/>
          <w:sz w:val="28"/>
          <w:szCs w:val="28"/>
        </w:rPr>
        <w:t>盖医</w:t>
      </w:r>
      <w:r>
        <w:rPr>
          <w:rFonts w:ascii="楷体_GB2312" w:eastAsia="楷体_GB2312" w:hAnsi="楷体_GB2312" w:cs="楷体_GB2312" w:hint="eastAsia"/>
          <w:sz w:val="28"/>
          <w:szCs w:val="28"/>
        </w:rPr>
        <w:t>疗卫生单位、</w:t>
      </w:r>
      <w:r>
        <w:rPr>
          <w:rFonts w:ascii="楷体_GB2312" w:eastAsia="楷体_GB2312" w:hAnsi="楷体_GB2312" w:cs="楷体_GB2312" w:hint="eastAsia"/>
          <w:sz w:val="28"/>
          <w:szCs w:val="28"/>
        </w:rPr>
        <w:t>港澳台及外</w:t>
      </w:r>
      <w:r>
        <w:rPr>
          <w:rFonts w:ascii="楷体_GB2312" w:eastAsia="楷体_GB2312" w:hAnsi="楷体_GB2312" w:cs="楷体_GB2312" w:hint="eastAsia"/>
          <w:sz w:val="28"/>
          <w:szCs w:val="28"/>
        </w:rPr>
        <w:t>资企业、国有</w:t>
      </w:r>
      <w:r>
        <w:rPr>
          <w:rFonts w:ascii="楷体_GB2312" w:eastAsia="楷体_GB2312" w:hAnsi="楷体_GB2312" w:cs="楷体_GB2312" w:hint="eastAsia"/>
          <w:sz w:val="28"/>
          <w:szCs w:val="28"/>
        </w:rPr>
        <w:t>及集团</w:t>
      </w:r>
      <w:r>
        <w:rPr>
          <w:rFonts w:ascii="楷体_GB2312" w:eastAsia="楷体_GB2312" w:hAnsi="楷体_GB2312" w:cs="楷体_GB2312" w:hint="eastAsia"/>
          <w:sz w:val="28"/>
          <w:szCs w:val="28"/>
        </w:rPr>
        <w:t>企业、国家</w:t>
      </w:r>
      <w:r>
        <w:rPr>
          <w:rFonts w:ascii="楷体_GB2312" w:eastAsia="楷体_GB2312" w:hAnsi="楷体_GB2312" w:cs="楷体_GB2312" w:hint="eastAsia"/>
          <w:sz w:val="28"/>
          <w:szCs w:val="28"/>
        </w:rPr>
        <w:t>和</w:t>
      </w:r>
      <w:r>
        <w:rPr>
          <w:rFonts w:ascii="楷体_GB2312" w:eastAsia="楷体_GB2312" w:hAnsi="楷体_GB2312" w:cs="楷体_GB2312" w:hint="eastAsia"/>
          <w:sz w:val="28"/>
          <w:szCs w:val="28"/>
        </w:rPr>
        <w:t>地方基层组织、机关、中初等教育单位、</w:t>
      </w:r>
      <w:r>
        <w:rPr>
          <w:rFonts w:ascii="楷体_GB2312" w:eastAsia="楷体_GB2312" w:hAnsi="楷体_GB2312" w:cs="楷体_GB2312" w:hint="eastAsia"/>
          <w:sz w:val="28"/>
          <w:szCs w:val="28"/>
        </w:rPr>
        <w:t>民营企业</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非盈利组织（</w:t>
      </w:r>
      <w:r>
        <w:rPr>
          <w:rFonts w:ascii="楷体_GB2312" w:eastAsia="楷体_GB2312" w:hAnsi="楷体_GB2312" w:cs="楷体_GB2312" w:hint="eastAsia"/>
          <w:sz w:val="28"/>
          <w:szCs w:val="28"/>
        </w:rPr>
        <w:t>见图</w:t>
      </w:r>
      <w:r>
        <w:rPr>
          <w:rFonts w:ascii="楷体_GB2312" w:eastAsia="楷体_GB2312" w:hAnsi="楷体_GB2312" w:cs="楷体_GB2312" w:hint="eastAsia"/>
          <w:sz w:val="28"/>
          <w:szCs w:val="28"/>
        </w:rPr>
        <w:t>1-1</w:t>
      </w:r>
      <w:r>
        <w:rPr>
          <w:rFonts w:ascii="楷体_GB2312" w:eastAsia="楷体_GB2312" w:hAnsi="楷体_GB2312" w:cs="楷体_GB2312" w:hint="eastAsia"/>
          <w:sz w:val="28"/>
          <w:szCs w:val="28"/>
        </w:rPr>
        <w:t>3</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。其中，除</w:t>
      </w:r>
      <w:r>
        <w:rPr>
          <w:rFonts w:ascii="楷体_GB2312" w:eastAsia="楷体_GB2312" w:hAnsi="楷体_GB2312" w:cs="楷体_GB2312" w:hint="eastAsia"/>
          <w:sz w:val="28"/>
          <w:szCs w:val="28"/>
        </w:rPr>
        <w:t>民营企业外，</w:t>
      </w:r>
      <w:r>
        <w:rPr>
          <w:rFonts w:ascii="楷体_GB2312" w:eastAsia="楷体_GB2312" w:hAnsi="楷体_GB2312" w:cs="楷体_GB2312" w:hint="eastAsia"/>
          <w:sz w:val="28"/>
          <w:szCs w:val="28"/>
        </w:rPr>
        <w:t>毕业生就业单位的主要类型是医疗卫生单位，体现了我院办学的医学特色及优势。</w:t>
      </w:r>
    </w:p>
    <w:p w:rsidR="00000000" w:rsidRDefault="006666D3">
      <w:pPr>
        <w:spacing w:line="480" w:lineRule="auto"/>
        <w:ind w:firstLineChars="200" w:firstLine="420"/>
        <w:jc w:val="center"/>
        <w:rPr>
          <w:rFonts w:ascii="楷体_GB2312" w:eastAsia="楷体_GB2312" w:hAnsi="楷体_GB2312" w:cs="楷体_GB2312"/>
          <w:sz w:val="28"/>
          <w:szCs w:val="28"/>
        </w:rPr>
      </w:pPr>
      <w:r>
        <w:rPr>
          <w:noProof/>
        </w:rPr>
        <w:drawing>
          <wp:inline distT="0" distB="0" distL="0" distR="0">
            <wp:extent cx="4486631" cy="2260775"/>
            <wp:effectExtent l="4362" t="3663" r="14332" b="12037"/>
            <wp:docPr id="16" name="图表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00000" w:rsidRDefault="009A1129">
      <w:pPr>
        <w:spacing w:line="480" w:lineRule="auto"/>
        <w:jc w:val="center"/>
        <w:rPr>
          <w:rFonts w:ascii="楷体_GB2312" w:eastAsia="楷体_GB2312" w:hAnsi="楷体_GB2312" w:cs="楷体_GB2312" w:hint="eastAsia"/>
          <w:b/>
          <w:bCs/>
          <w:sz w:val="28"/>
          <w:szCs w:val="28"/>
        </w:rPr>
      </w:pP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1-1</w:t>
      </w:r>
      <w:r>
        <w:rPr>
          <w:rFonts w:ascii="楷体_GB2312" w:eastAsia="楷体_GB2312" w:hAnsi="楷体_GB2312" w:cs="楷体_GB2312" w:hint="eastAsia"/>
          <w:b/>
          <w:bCs/>
          <w:sz w:val="28"/>
          <w:szCs w:val="28"/>
        </w:rPr>
        <w:t>3</w:t>
      </w:r>
      <w:r>
        <w:rPr>
          <w:rFonts w:ascii="楷体_GB2312" w:eastAsia="楷体_GB2312" w:hAnsi="楷体_GB2312" w:cs="楷体_GB2312" w:hint="eastAsia"/>
          <w:b/>
          <w:bCs/>
          <w:sz w:val="28"/>
          <w:szCs w:val="28"/>
        </w:rPr>
        <w:t xml:space="preserve">  201</w:t>
      </w:r>
      <w:r>
        <w:rPr>
          <w:rFonts w:ascii="楷体_GB2312" w:eastAsia="楷体_GB2312" w:hAnsi="楷体_GB2312" w:cs="楷体_GB2312" w:hint="eastAsia"/>
          <w:b/>
          <w:bCs/>
          <w:sz w:val="28"/>
          <w:szCs w:val="28"/>
        </w:rPr>
        <w:t>7</w:t>
      </w:r>
      <w:r>
        <w:rPr>
          <w:rFonts w:ascii="楷体_GB2312" w:eastAsia="楷体_GB2312" w:hAnsi="楷体_GB2312" w:cs="楷体_GB2312" w:hint="eastAsia"/>
          <w:b/>
          <w:bCs/>
          <w:sz w:val="28"/>
          <w:szCs w:val="28"/>
        </w:rPr>
        <w:t>届毕业生就业单位类型</w:t>
      </w:r>
    </w:p>
    <w:p w:rsidR="00000000" w:rsidRDefault="009A1129">
      <w:pPr>
        <w:spacing w:line="480" w:lineRule="auto"/>
        <w:jc w:val="center"/>
        <w:rPr>
          <w:rFonts w:ascii="楷体_GB2312" w:eastAsia="楷体_GB2312" w:hAnsi="楷体_GB2312" w:cs="楷体_GB2312" w:hint="eastAsia"/>
          <w:b/>
          <w:bCs/>
          <w:sz w:val="28"/>
          <w:szCs w:val="28"/>
        </w:rPr>
      </w:pPr>
    </w:p>
    <w:p w:rsidR="00000000" w:rsidRDefault="009A1129">
      <w:pPr>
        <w:numPr>
          <w:ilvl w:val="0"/>
          <w:numId w:val="4"/>
        </w:numPr>
        <w:spacing w:line="480" w:lineRule="auto"/>
        <w:jc w:val="left"/>
        <w:rPr>
          <w:rFonts w:ascii="楷体_GB2312" w:eastAsia="楷体_GB2312" w:hAnsi="楷体_GB2312" w:cs="楷体_GB2312"/>
          <w:b/>
          <w:sz w:val="32"/>
          <w:szCs w:val="32"/>
        </w:rPr>
      </w:pPr>
      <w:r>
        <w:rPr>
          <w:rFonts w:ascii="楷体_GB2312" w:eastAsia="楷体_GB2312" w:hAnsi="楷体_GB2312" w:cs="楷体_GB2312" w:hint="eastAsia"/>
          <w:b/>
          <w:sz w:val="32"/>
          <w:szCs w:val="32"/>
        </w:rPr>
        <w:t>毕业生就业行业统计</w:t>
      </w:r>
    </w:p>
    <w:p w:rsidR="00000000" w:rsidRDefault="009A1129">
      <w:pPr>
        <w:spacing w:line="480" w:lineRule="auto"/>
        <w:jc w:val="left"/>
        <w:rPr>
          <w:rFonts w:ascii="楷体_GB2312" w:eastAsia="楷体_GB2312" w:hAnsi="楷体_GB2312" w:cs="楷体_GB2312"/>
          <w:color w:val="FF0000"/>
          <w:sz w:val="28"/>
          <w:szCs w:val="28"/>
        </w:rPr>
      </w:pPr>
      <w:r>
        <w:rPr>
          <w:rFonts w:ascii="楷体_GB2312" w:eastAsia="楷体_GB2312" w:hAnsi="楷体_GB2312" w:cs="楷体_GB2312" w:hint="eastAsia"/>
          <w:sz w:val="28"/>
          <w:szCs w:val="28"/>
        </w:rPr>
        <w:t xml:space="preserve">   </w:t>
      </w:r>
      <w:r>
        <w:rPr>
          <w:rFonts w:ascii="楷体_GB2312" w:eastAsia="楷体_GB2312" w:hAnsi="楷体_GB2312" w:cs="楷体_GB2312" w:hint="eastAsia"/>
          <w:sz w:val="28"/>
          <w:szCs w:val="28"/>
        </w:rPr>
        <w:t xml:space="preserve"> </w:t>
      </w:r>
      <w:r>
        <w:rPr>
          <w:rFonts w:ascii="楷体_GB2312" w:eastAsia="楷体_GB2312" w:hAnsi="楷体_GB2312" w:cs="楷体_GB2312" w:hint="eastAsia"/>
          <w:sz w:val="28"/>
          <w:szCs w:val="28"/>
        </w:rPr>
        <w:t>从毕业生就业行业分布情况看，“卫生和社会工作”是毕业生就业所属行业的主要流向，占比为</w:t>
      </w:r>
      <w:r>
        <w:rPr>
          <w:rFonts w:ascii="楷体_GB2312" w:eastAsia="楷体_GB2312" w:hAnsi="楷体_GB2312" w:cs="楷体_GB2312" w:hint="eastAsia"/>
          <w:sz w:val="28"/>
          <w:szCs w:val="28"/>
        </w:rPr>
        <w:t>34.01</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，这与我院的专业设置相匹配，与我院医学类学生占比相</w:t>
      </w:r>
      <w:r>
        <w:rPr>
          <w:rFonts w:ascii="楷体_GB2312" w:eastAsia="楷体_GB2312" w:hAnsi="楷体_GB2312" w:cs="楷体_GB2312" w:hint="eastAsia"/>
          <w:sz w:val="28"/>
          <w:szCs w:val="28"/>
        </w:rPr>
        <w:t>符。其</w:t>
      </w:r>
      <w:r>
        <w:rPr>
          <w:rFonts w:ascii="楷体_GB2312" w:eastAsia="楷体_GB2312" w:hAnsi="楷体_GB2312" w:cs="楷体_GB2312" w:hint="eastAsia"/>
          <w:sz w:val="28"/>
          <w:szCs w:val="28"/>
        </w:rPr>
        <w:t>次</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为制造业，占比</w:t>
      </w:r>
      <w:r>
        <w:rPr>
          <w:rFonts w:ascii="楷体_GB2312" w:eastAsia="楷体_GB2312" w:hAnsi="楷体_GB2312" w:cs="楷体_GB2312" w:hint="eastAsia"/>
          <w:sz w:val="28"/>
          <w:szCs w:val="28"/>
        </w:rPr>
        <w:t>19.88</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见图</w:t>
      </w:r>
      <w:r>
        <w:rPr>
          <w:rFonts w:ascii="楷体_GB2312" w:eastAsia="楷体_GB2312" w:hAnsi="楷体_GB2312" w:cs="楷体_GB2312" w:hint="eastAsia"/>
          <w:sz w:val="28"/>
          <w:szCs w:val="28"/>
        </w:rPr>
        <w:t>1-1</w:t>
      </w:r>
      <w:r>
        <w:rPr>
          <w:rFonts w:ascii="楷体_GB2312" w:eastAsia="楷体_GB2312" w:hAnsi="楷体_GB2312" w:cs="楷体_GB2312" w:hint="eastAsia"/>
          <w:sz w:val="28"/>
          <w:szCs w:val="28"/>
        </w:rPr>
        <w:t>4</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w:t>
      </w:r>
    </w:p>
    <w:p w:rsidR="00000000" w:rsidRDefault="006666D3">
      <w:pPr>
        <w:spacing w:line="480" w:lineRule="auto"/>
        <w:rPr>
          <w:rFonts w:ascii="楷体_GB2312" w:eastAsia="楷体_GB2312" w:hAnsi="楷体_GB2312" w:cs="楷体_GB2312"/>
          <w:b/>
          <w:bCs/>
          <w:sz w:val="36"/>
          <w:szCs w:val="36"/>
        </w:rPr>
      </w:pPr>
      <w:r>
        <w:rPr>
          <w:noProof/>
        </w:rPr>
        <w:lastRenderedPageBreak/>
        <w:drawing>
          <wp:inline distT="0" distB="0" distL="0" distR="0">
            <wp:extent cx="4725912" cy="2725672"/>
            <wp:effectExtent l="4092" t="4090" r="13446" b="13438"/>
            <wp:docPr id="17"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00000" w:rsidRDefault="009A1129">
      <w:pPr>
        <w:spacing w:line="480" w:lineRule="auto"/>
        <w:jc w:val="center"/>
        <w:rPr>
          <w:rFonts w:ascii="楷体_GB2312" w:eastAsia="楷体_GB2312" w:hAnsi="楷体_GB2312" w:cs="楷体_GB2312" w:hint="eastAsia"/>
          <w:b/>
          <w:bCs/>
          <w:sz w:val="36"/>
          <w:szCs w:val="36"/>
        </w:rPr>
      </w:pP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1-1</w:t>
      </w:r>
      <w:r>
        <w:rPr>
          <w:rFonts w:ascii="楷体_GB2312" w:eastAsia="楷体_GB2312" w:hAnsi="楷体_GB2312" w:cs="楷体_GB2312" w:hint="eastAsia"/>
          <w:b/>
          <w:bCs/>
          <w:sz w:val="28"/>
          <w:szCs w:val="28"/>
        </w:rPr>
        <w:t>4</w:t>
      </w:r>
      <w:r>
        <w:rPr>
          <w:rFonts w:ascii="楷体_GB2312" w:eastAsia="楷体_GB2312" w:hAnsi="楷体_GB2312" w:cs="楷体_GB2312" w:hint="eastAsia"/>
          <w:b/>
          <w:bCs/>
          <w:sz w:val="28"/>
          <w:szCs w:val="28"/>
        </w:rPr>
        <w:t xml:space="preserve">  201</w:t>
      </w:r>
      <w:r>
        <w:rPr>
          <w:rFonts w:ascii="楷体_GB2312" w:eastAsia="楷体_GB2312" w:hAnsi="楷体_GB2312" w:cs="楷体_GB2312" w:hint="eastAsia"/>
          <w:b/>
          <w:bCs/>
          <w:sz w:val="28"/>
          <w:szCs w:val="28"/>
        </w:rPr>
        <w:t>7</w:t>
      </w:r>
      <w:r>
        <w:rPr>
          <w:rFonts w:ascii="楷体_GB2312" w:eastAsia="楷体_GB2312" w:hAnsi="楷体_GB2312" w:cs="楷体_GB2312" w:hint="eastAsia"/>
          <w:b/>
          <w:bCs/>
          <w:sz w:val="28"/>
          <w:szCs w:val="28"/>
        </w:rPr>
        <w:t>届毕业生就业单位所属行业分布</w:t>
      </w:r>
    </w:p>
    <w:p w:rsidR="00000000" w:rsidRDefault="009A1129">
      <w:pPr>
        <w:spacing w:line="480" w:lineRule="auto"/>
        <w:rPr>
          <w:rFonts w:ascii="楷体_GB2312" w:eastAsia="楷体_GB2312" w:hAnsi="楷体_GB2312" w:cs="楷体_GB2312"/>
          <w:b/>
          <w:bCs/>
          <w:sz w:val="36"/>
          <w:szCs w:val="36"/>
        </w:rPr>
      </w:pPr>
    </w:p>
    <w:p w:rsidR="00000000" w:rsidRDefault="009A1129">
      <w:pPr>
        <w:spacing w:line="480" w:lineRule="auto"/>
        <w:rPr>
          <w:rFonts w:ascii="楷体_GB2312" w:eastAsia="楷体_GB2312" w:hAnsi="楷体_GB2312" w:cs="楷体_GB2312"/>
          <w:b/>
          <w:bCs/>
          <w:sz w:val="36"/>
          <w:szCs w:val="36"/>
        </w:rPr>
      </w:pPr>
    </w:p>
    <w:p w:rsidR="00000000" w:rsidRDefault="009A1129">
      <w:pPr>
        <w:spacing w:line="480" w:lineRule="auto"/>
        <w:rPr>
          <w:rFonts w:ascii="楷体_GB2312" w:eastAsia="楷体_GB2312" w:hAnsi="楷体_GB2312" w:cs="楷体_GB2312"/>
          <w:b/>
          <w:bCs/>
          <w:sz w:val="36"/>
          <w:szCs w:val="36"/>
        </w:rPr>
      </w:pPr>
    </w:p>
    <w:p w:rsidR="00000000" w:rsidRDefault="009A1129">
      <w:pPr>
        <w:spacing w:line="480" w:lineRule="auto"/>
        <w:rPr>
          <w:rFonts w:ascii="楷体_GB2312" w:eastAsia="楷体_GB2312" w:hAnsi="楷体_GB2312" w:cs="楷体_GB2312"/>
          <w:b/>
          <w:bCs/>
          <w:sz w:val="36"/>
          <w:szCs w:val="36"/>
        </w:rPr>
      </w:pPr>
    </w:p>
    <w:p w:rsidR="00000000" w:rsidRDefault="009A1129">
      <w:pPr>
        <w:spacing w:line="480" w:lineRule="auto"/>
        <w:rPr>
          <w:rFonts w:ascii="楷体_GB2312" w:eastAsia="楷体_GB2312" w:hAnsi="楷体_GB2312" w:cs="楷体_GB2312"/>
          <w:b/>
          <w:bCs/>
          <w:sz w:val="36"/>
          <w:szCs w:val="36"/>
        </w:rPr>
      </w:pPr>
    </w:p>
    <w:p w:rsidR="00000000" w:rsidRDefault="009A1129">
      <w:pPr>
        <w:spacing w:line="480" w:lineRule="auto"/>
        <w:rPr>
          <w:rFonts w:ascii="楷体_GB2312" w:eastAsia="楷体_GB2312" w:hAnsi="楷体_GB2312" w:cs="楷体_GB2312"/>
          <w:b/>
          <w:bCs/>
          <w:sz w:val="36"/>
          <w:szCs w:val="36"/>
        </w:rPr>
      </w:pPr>
    </w:p>
    <w:p w:rsidR="00000000" w:rsidRDefault="009A1129">
      <w:pPr>
        <w:spacing w:line="480" w:lineRule="auto"/>
        <w:rPr>
          <w:rFonts w:ascii="楷体_GB2312" w:eastAsia="楷体_GB2312" w:hAnsi="楷体_GB2312" w:cs="楷体_GB2312"/>
          <w:b/>
          <w:bCs/>
          <w:sz w:val="36"/>
          <w:szCs w:val="36"/>
        </w:rPr>
      </w:pPr>
    </w:p>
    <w:p w:rsidR="00000000" w:rsidRDefault="009A1129">
      <w:pPr>
        <w:spacing w:line="480" w:lineRule="auto"/>
        <w:rPr>
          <w:rFonts w:ascii="楷体_GB2312" w:eastAsia="楷体_GB2312" w:hAnsi="楷体_GB2312" w:cs="楷体_GB2312"/>
          <w:b/>
          <w:bCs/>
          <w:sz w:val="36"/>
          <w:szCs w:val="36"/>
        </w:rPr>
      </w:pPr>
    </w:p>
    <w:p w:rsidR="00000000" w:rsidRDefault="009A1129">
      <w:pPr>
        <w:spacing w:line="480" w:lineRule="auto"/>
        <w:rPr>
          <w:rFonts w:ascii="楷体_GB2312" w:eastAsia="楷体_GB2312" w:hAnsi="楷体_GB2312" w:cs="楷体_GB2312"/>
          <w:b/>
          <w:bCs/>
          <w:sz w:val="36"/>
          <w:szCs w:val="36"/>
        </w:rPr>
      </w:pPr>
    </w:p>
    <w:p w:rsidR="00000000" w:rsidRDefault="009A1129">
      <w:pPr>
        <w:spacing w:line="480" w:lineRule="auto"/>
        <w:rPr>
          <w:rFonts w:ascii="楷体_GB2312" w:eastAsia="楷体_GB2312" w:hAnsi="楷体_GB2312" w:cs="楷体_GB2312"/>
          <w:b/>
          <w:bCs/>
          <w:sz w:val="36"/>
          <w:szCs w:val="36"/>
        </w:rPr>
      </w:pPr>
    </w:p>
    <w:p w:rsidR="00000000" w:rsidRDefault="009A1129">
      <w:pPr>
        <w:spacing w:line="480" w:lineRule="auto"/>
        <w:rPr>
          <w:rFonts w:ascii="楷体_GB2312" w:eastAsia="楷体_GB2312" w:hAnsi="楷体_GB2312" w:cs="楷体_GB2312"/>
          <w:b/>
          <w:bCs/>
          <w:sz w:val="36"/>
          <w:szCs w:val="36"/>
        </w:rPr>
      </w:pPr>
    </w:p>
    <w:p w:rsidR="00000000" w:rsidRDefault="009A1129">
      <w:pPr>
        <w:spacing w:line="480" w:lineRule="auto"/>
        <w:rPr>
          <w:rFonts w:ascii="楷体_GB2312" w:eastAsia="楷体_GB2312" w:hAnsi="楷体_GB2312" w:cs="楷体_GB2312"/>
          <w:b/>
          <w:bCs/>
          <w:sz w:val="36"/>
          <w:szCs w:val="36"/>
        </w:rPr>
      </w:pPr>
    </w:p>
    <w:p w:rsidR="00000000" w:rsidRDefault="009A1129">
      <w:pPr>
        <w:spacing w:line="480" w:lineRule="auto"/>
        <w:rPr>
          <w:rFonts w:ascii="楷体_GB2312" w:eastAsia="楷体_GB2312" w:hAnsi="楷体_GB2312" w:cs="楷体_GB2312"/>
          <w:b/>
          <w:bCs/>
          <w:sz w:val="36"/>
          <w:szCs w:val="36"/>
        </w:rPr>
      </w:pPr>
    </w:p>
    <w:p w:rsidR="00000000" w:rsidRDefault="009A1129">
      <w:pPr>
        <w:spacing w:line="480" w:lineRule="auto"/>
        <w:rPr>
          <w:rFonts w:ascii="楷体_GB2312" w:eastAsia="楷体_GB2312" w:hAnsi="楷体_GB2312" w:cs="楷体_GB2312"/>
          <w:b/>
          <w:bCs/>
          <w:sz w:val="36"/>
          <w:szCs w:val="36"/>
        </w:rPr>
      </w:pPr>
    </w:p>
    <w:p w:rsidR="00000000" w:rsidRDefault="009A1129">
      <w:pPr>
        <w:spacing w:line="480" w:lineRule="auto"/>
        <w:jc w:val="center"/>
        <w:rPr>
          <w:rFonts w:ascii="楷体_GB2312" w:eastAsia="楷体_GB2312" w:hAnsi="楷体_GB2312" w:cs="楷体_GB2312"/>
          <w:b/>
          <w:bCs/>
          <w:sz w:val="36"/>
          <w:szCs w:val="36"/>
        </w:rPr>
      </w:pPr>
      <w:r>
        <w:rPr>
          <w:rFonts w:ascii="楷体_GB2312" w:eastAsia="楷体_GB2312" w:hAnsi="楷体_GB2312" w:cs="楷体_GB2312" w:hint="eastAsia"/>
          <w:b/>
          <w:bCs/>
          <w:sz w:val="36"/>
          <w:szCs w:val="36"/>
        </w:rPr>
        <w:lastRenderedPageBreak/>
        <w:t>第二部分</w:t>
      </w:r>
      <w:r>
        <w:rPr>
          <w:rFonts w:ascii="楷体_GB2312" w:eastAsia="楷体_GB2312" w:hAnsi="楷体_GB2312" w:cs="楷体_GB2312" w:hint="eastAsia"/>
          <w:b/>
          <w:bCs/>
          <w:sz w:val="36"/>
          <w:szCs w:val="36"/>
        </w:rPr>
        <w:t xml:space="preserve">  </w:t>
      </w:r>
      <w:r>
        <w:rPr>
          <w:rFonts w:ascii="楷体_GB2312" w:eastAsia="楷体_GB2312" w:hAnsi="楷体_GB2312" w:cs="楷体_GB2312" w:hint="eastAsia"/>
          <w:b/>
          <w:bCs/>
          <w:sz w:val="36"/>
          <w:szCs w:val="36"/>
        </w:rPr>
        <w:t>毕业生就业工作</w:t>
      </w:r>
      <w:r>
        <w:rPr>
          <w:rFonts w:ascii="楷体_GB2312" w:eastAsia="楷体_GB2312" w:hAnsi="楷体_GB2312" w:cs="楷体_GB2312" w:hint="eastAsia"/>
          <w:b/>
          <w:bCs/>
          <w:sz w:val="36"/>
          <w:szCs w:val="36"/>
        </w:rPr>
        <w:t>举措</w:t>
      </w:r>
    </w:p>
    <w:p w:rsidR="00000000" w:rsidRDefault="009A1129">
      <w:pPr>
        <w:pStyle w:val="ab"/>
        <w:spacing w:line="480" w:lineRule="auto"/>
        <w:ind w:firstLineChars="0" w:firstLine="0"/>
        <w:rPr>
          <w:rFonts w:ascii="宋体" w:hAnsi="宋体" w:cs="宋体" w:hint="eastAsia"/>
          <w:b/>
          <w:bCs/>
          <w:sz w:val="28"/>
          <w:szCs w:val="28"/>
        </w:rPr>
      </w:pPr>
      <w:r>
        <w:rPr>
          <w:rFonts w:ascii="宋体" w:hAnsi="宋体" w:cs="宋体" w:hint="eastAsia"/>
          <w:b/>
          <w:bCs/>
          <w:sz w:val="28"/>
          <w:szCs w:val="28"/>
        </w:rPr>
        <w:t>一、</w:t>
      </w:r>
      <w:r>
        <w:rPr>
          <w:rFonts w:ascii="宋体" w:hAnsi="宋体" w:cs="宋体" w:hint="eastAsia"/>
          <w:b/>
          <w:bCs/>
          <w:sz w:val="28"/>
          <w:szCs w:val="28"/>
        </w:rPr>
        <w:t>高度重视、通力协作，开创就创工作新局面</w:t>
      </w:r>
    </w:p>
    <w:p w:rsidR="00000000" w:rsidRDefault="009A1129">
      <w:pPr>
        <w:spacing w:line="480" w:lineRule="auto"/>
        <w:ind w:firstLineChars="200" w:firstLine="420"/>
        <w:rPr>
          <w:rFonts w:ascii="宋体" w:hAnsi="宋体" w:cs="宋体" w:hint="eastAsia"/>
          <w:kern w:val="0"/>
          <w:szCs w:val="21"/>
        </w:rPr>
      </w:pPr>
      <w:r>
        <w:rPr>
          <w:rFonts w:ascii="宋体" w:hAnsi="宋体" w:cs="宋体" w:hint="eastAsia"/>
          <w:kern w:val="0"/>
          <w:szCs w:val="21"/>
        </w:rPr>
        <w:t>学院高度重视毕业生就业创业工作，实施“一把手工程”。学院成立毕业生就业创业工作小组，分管领导具体抓落实，责任到部门，形成毕业年级、学部、学生处三级联动机制。学院党政工作要点分章节阐述当年度学院就业创业工作计划、目标和举措，并定期召开党政联席会议专题研究部署毕业生就业创业相关工作。学院重视建立毕业生就业创业工作长效机制，咬定就业创业工作目标，从独立学院教育教学改革入手，以培养应用型人才为核心，每学期多次召开党政联席会议围绕社会、市场需要什么样的人才，研讨学院人</w:t>
      </w:r>
      <w:r>
        <w:rPr>
          <w:rFonts w:ascii="宋体" w:hAnsi="宋体" w:cs="宋体" w:hint="eastAsia"/>
          <w:kern w:val="0"/>
          <w:szCs w:val="21"/>
        </w:rPr>
        <w:t>才培养模式改革。召开教学工作会议，商讨专业人才培养方案修订工作，交流讨论应用型人才培养的经验，提高人才培养质量和毕业生就业核心竞争力。</w:t>
      </w:r>
      <w:r>
        <w:rPr>
          <w:rFonts w:ascii="宋体" w:hAnsi="宋体" w:cs="宋体" w:hint="eastAsia"/>
          <w:kern w:val="0"/>
          <w:szCs w:val="21"/>
        </w:rPr>
        <w:t>学院将毕业生就</w:t>
      </w:r>
      <w:r>
        <w:rPr>
          <w:rFonts w:ascii="宋体" w:hAnsi="宋体" w:cs="宋体" w:hint="eastAsia"/>
          <w:kern w:val="0"/>
          <w:szCs w:val="21"/>
        </w:rPr>
        <w:t>创</w:t>
      </w:r>
      <w:r>
        <w:rPr>
          <w:rFonts w:ascii="宋体" w:hAnsi="宋体" w:cs="宋体" w:hint="eastAsia"/>
          <w:kern w:val="0"/>
          <w:szCs w:val="21"/>
        </w:rPr>
        <w:t>工作</w:t>
      </w:r>
      <w:r>
        <w:rPr>
          <w:rFonts w:ascii="宋体" w:hAnsi="宋体" w:cs="宋体" w:hint="eastAsia"/>
          <w:kern w:val="0"/>
          <w:szCs w:val="21"/>
        </w:rPr>
        <w:t>列为</w:t>
      </w:r>
      <w:r>
        <w:rPr>
          <w:rFonts w:ascii="宋体" w:hAnsi="宋体" w:cs="宋体" w:hint="eastAsia"/>
          <w:kern w:val="0"/>
          <w:szCs w:val="21"/>
        </w:rPr>
        <w:t>年度目标考核的主要指标，</w:t>
      </w:r>
      <w:r>
        <w:rPr>
          <w:rFonts w:ascii="宋体" w:hAnsi="宋体" w:cs="宋体" w:hint="eastAsia"/>
          <w:kern w:val="0"/>
          <w:szCs w:val="21"/>
        </w:rPr>
        <w:t>并</w:t>
      </w:r>
      <w:r>
        <w:rPr>
          <w:rFonts w:ascii="宋体" w:hAnsi="宋体" w:cs="宋体" w:hint="eastAsia"/>
          <w:kern w:val="0"/>
          <w:szCs w:val="21"/>
        </w:rPr>
        <w:t>制定</w:t>
      </w:r>
      <w:r>
        <w:rPr>
          <w:rFonts w:ascii="宋体" w:hAnsi="宋体" w:cs="宋体" w:hint="eastAsia"/>
          <w:kern w:val="0"/>
          <w:szCs w:val="21"/>
        </w:rPr>
        <w:t>了</w:t>
      </w:r>
      <w:r>
        <w:rPr>
          <w:rFonts w:ascii="宋体" w:hAnsi="宋体" w:cs="宋体" w:hint="eastAsia"/>
          <w:kern w:val="0"/>
          <w:szCs w:val="21"/>
        </w:rPr>
        <w:t>《南通大学杏林学院毕业生就业</w:t>
      </w:r>
      <w:r>
        <w:rPr>
          <w:rFonts w:ascii="宋体" w:hAnsi="宋体" w:cs="宋体" w:hint="eastAsia"/>
          <w:kern w:val="0"/>
          <w:szCs w:val="21"/>
        </w:rPr>
        <w:t>创业</w:t>
      </w:r>
      <w:r>
        <w:rPr>
          <w:rFonts w:ascii="宋体" w:hAnsi="宋体" w:cs="宋体" w:hint="eastAsia"/>
          <w:kern w:val="0"/>
          <w:szCs w:val="21"/>
        </w:rPr>
        <w:t>工作奖励办法》，</w:t>
      </w:r>
      <w:r>
        <w:rPr>
          <w:rFonts w:ascii="宋体" w:hAnsi="宋体" w:cs="宋体" w:hint="eastAsia"/>
          <w:kern w:val="0"/>
          <w:szCs w:val="21"/>
        </w:rPr>
        <w:t>极大地提升了全院教师的主动性和积极性。在全院教师的共同努力下，获得“南通大学</w:t>
      </w:r>
      <w:r>
        <w:rPr>
          <w:rFonts w:ascii="宋体" w:hAnsi="宋体" w:cs="宋体" w:hint="eastAsia"/>
          <w:kern w:val="0"/>
          <w:szCs w:val="21"/>
        </w:rPr>
        <w:t>2016</w:t>
      </w:r>
      <w:r>
        <w:rPr>
          <w:rFonts w:ascii="宋体" w:hAnsi="宋体" w:cs="宋体" w:hint="eastAsia"/>
          <w:kern w:val="0"/>
          <w:szCs w:val="21"/>
        </w:rPr>
        <w:t>年毕业生就业工作先进集体”称号。</w:t>
      </w:r>
    </w:p>
    <w:p w:rsidR="00000000" w:rsidRDefault="009A1129">
      <w:pPr>
        <w:spacing w:line="480" w:lineRule="auto"/>
        <w:ind w:firstLineChars="200" w:firstLine="420"/>
        <w:rPr>
          <w:rFonts w:ascii="宋体" w:hAnsi="宋体" w:cs="宋体" w:hint="eastAsia"/>
          <w:kern w:val="0"/>
          <w:szCs w:val="21"/>
        </w:rPr>
      </w:pPr>
    </w:p>
    <w:p w:rsidR="00000000" w:rsidRDefault="009A1129">
      <w:pPr>
        <w:pStyle w:val="ab"/>
        <w:spacing w:line="480" w:lineRule="auto"/>
        <w:ind w:firstLineChars="0" w:firstLine="0"/>
        <w:rPr>
          <w:rFonts w:ascii="宋体" w:hAnsi="宋体" w:cs="宋体" w:hint="eastAsia"/>
          <w:b/>
          <w:bCs/>
          <w:sz w:val="28"/>
          <w:szCs w:val="28"/>
        </w:rPr>
      </w:pPr>
      <w:r>
        <w:rPr>
          <w:rFonts w:ascii="宋体" w:hAnsi="宋体" w:cs="宋体" w:hint="eastAsia"/>
          <w:b/>
          <w:bCs/>
          <w:sz w:val="28"/>
          <w:szCs w:val="28"/>
        </w:rPr>
        <w:t>二、</w:t>
      </w:r>
      <w:r>
        <w:rPr>
          <w:rFonts w:ascii="宋体" w:hAnsi="宋体" w:cs="宋体" w:hint="eastAsia"/>
          <w:b/>
          <w:bCs/>
          <w:sz w:val="28"/>
          <w:szCs w:val="28"/>
        </w:rPr>
        <w:t>开拓创新、全程指导，体现就创教育实效性</w:t>
      </w:r>
    </w:p>
    <w:p w:rsidR="00000000" w:rsidRDefault="009A1129">
      <w:pPr>
        <w:spacing w:line="480" w:lineRule="auto"/>
        <w:ind w:firstLineChars="200" w:firstLine="420"/>
        <w:rPr>
          <w:rFonts w:ascii="宋体" w:hAnsi="宋体" w:cs="宋体" w:hint="eastAsia"/>
          <w:szCs w:val="21"/>
        </w:rPr>
      </w:pPr>
      <w:r>
        <w:rPr>
          <w:rFonts w:ascii="宋体" w:hAnsi="宋体" w:cs="宋体" w:hint="eastAsia"/>
          <w:szCs w:val="21"/>
        </w:rPr>
        <w:t>学院十分重视学生的就创业指导，每年专门召开全院就业创业工作会议，将就创业指导贯穿大学教育全过程。充分利用多种有</w:t>
      </w:r>
      <w:r>
        <w:rPr>
          <w:rFonts w:ascii="宋体" w:hAnsi="宋体" w:cs="宋体" w:hint="eastAsia"/>
          <w:szCs w:val="21"/>
        </w:rPr>
        <w:t>效平台和载体，分析就业形势，解读就创业政策，帮助树立正确的就业观念，加强求职技能教育。学院积极引导和鼓励毕业生到基层就业，扎实推进“苏北计划”、“三支一扶”和“大学生村官”</w:t>
      </w:r>
      <w:r>
        <w:rPr>
          <w:rFonts w:hint="eastAsia"/>
        </w:rPr>
        <w:t>计划</w:t>
      </w:r>
      <w:r>
        <w:rPr>
          <w:rFonts w:ascii="宋体" w:hAnsi="宋体" w:cs="宋体" w:hint="eastAsia"/>
          <w:szCs w:val="21"/>
        </w:rPr>
        <w:t>的实施，支持各类中小企业和非公有制单位聘用毕业生，拓展毕业生就业领域，促进以创业带动就业，引导毕业生积极创业。</w:t>
      </w:r>
    </w:p>
    <w:p w:rsidR="00000000" w:rsidRDefault="009A1129">
      <w:pPr>
        <w:spacing w:line="480" w:lineRule="auto"/>
        <w:ind w:firstLineChars="200" w:firstLine="420"/>
        <w:rPr>
          <w:rFonts w:ascii="宋体" w:hAnsi="宋体" w:cs="宋体" w:hint="eastAsia"/>
          <w:szCs w:val="21"/>
        </w:rPr>
      </w:pPr>
      <w:r>
        <w:rPr>
          <w:rFonts w:ascii="宋体" w:hAnsi="宋体" w:cs="宋体" w:hint="eastAsia"/>
          <w:szCs w:val="21"/>
        </w:rPr>
        <w:t>学院秉承以课程教学为主、课外指导为辅、咨询服务与学生活动并举的职业指导理念。在课程教学方面，组织《大学生职业辅导》课程的集体备课以及新教师的培训、试讲，举办</w:t>
      </w:r>
      <w:r>
        <w:rPr>
          <w:rFonts w:ascii="宋体" w:hAnsi="宋体" w:cs="宋体" w:hint="eastAsia"/>
          <w:szCs w:val="21"/>
        </w:rPr>
        <w:lastRenderedPageBreak/>
        <w:t>教师教学技能比赛，确保课程质量，提升职业指导课程的实效。学院将专业启</w:t>
      </w:r>
      <w:r>
        <w:rPr>
          <w:rFonts w:ascii="宋体" w:hAnsi="宋体" w:cs="宋体" w:hint="eastAsia"/>
          <w:szCs w:val="21"/>
        </w:rPr>
        <w:t>蒙作为全程化职业辅导的开端，入学伊始便</w:t>
      </w:r>
      <w:r>
        <w:rPr>
          <w:rFonts w:hint="eastAsia"/>
        </w:rPr>
        <w:t>注重</w:t>
      </w:r>
      <w:r>
        <w:rPr>
          <w:rFonts w:ascii="宋体" w:hAnsi="宋体" w:cs="宋体" w:hint="eastAsia"/>
          <w:szCs w:val="21"/>
        </w:rPr>
        <w:t>培养学生的专业兴趣，承办江苏省就业创业指导公益巡讲，通过名家讲座帮助学生了解专业发展方向和前沿信息。以大学生职业生涯规划大赛、职场精英赛、创新创业大赛、创业沙龙等活动进行毕业生就创业教育，提升学生就创业能力。</w:t>
      </w:r>
    </w:p>
    <w:p w:rsidR="00000000" w:rsidRDefault="009A1129">
      <w:pPr>
        <w:spacing w:line="480" w:lineRule="auto"/>
        <w:ind w:firstLineChars="200" w:firstLine="420"/>
        <w:rPr>
          <w:rFonts w:ascii="宋体" w:hAnsi="宋体" w:cs="宋体" w:hint="eastAsia"/>
          <w:szCs w:val="21"/>
        </w:rPr>
      </w:pPr>
    </w:p>
    <w:p w:rsidR="00000000" w:rsidRDefault="009A1129">
      <w:pPr>
        <w:pStyle w:val="ab"/>
        <w:autoSpaceDE w:val="0"/>
        <w:autoSpaceDN w:val="0"/>
        <w:adjustRightInd w:val="0"/>
        <w:spacing w:line="480" w:lineRule="auto"/>
        <w:ind w:firstLineChars="0" w:firstLine="0"/>
        <w:jc w:val="left"/>
        <w:rPr>
          <w:rFonts w:ascii="宋体" w:hAnsi="宋体" w:cs="宋体" w:hint="eastAsia"/>
          <w:b/>
          <w:bCs/>
          <w:sz w:val="28"/>
          <w:szCs w:val="28"/>
        </w:rPr>
      </w:pPr>
      <w:r>
        <w:rPr>
          <w:rFonts w:ascii="宋体" w:hAnsi="宋体" w:cs="宋体" w:hint="eastAsia"/>
          <w:b/>
          <w:bCs/>
          <w:sz w:val="28"/>
          <w:szCs w:val="28"/>
        </w:rPr>
        <w:t>三、</w:t>
      </w:r>
      <w:r>
        <w:rPr>
          <w:rFonts w:ascii="宋体" w:hAnsi="宋体" w:cs="宋体" w:hint="eastAsia"/>
          <w:b/>
          <w:bCs/>
          <w:sz w:val="28"/>
          <w:szCs w:val="28"/>
        </w:rPr>
        <w:t>拓宽渠道、合作共赢，推进就业资源建设</w:t>
      </w:r>
    </w:p>
    <w:p w:rsidR="00000000" w:rsidRDefault="009A1129">
      <w:pPr>
        <w:pStyle w:val="aa"/>
        <w:spacing w:line="480" w:lineRule="auto"/>
        <w:ind w:firstLineChars="200" w:firstLine="420"/>
        <w:rPr>
          <w:rFonts w:ascii="宋体" w:hAnsi="宋体" w:cs="宋体" w:hint="eastAsia"/>
          <w:szCs w:val="21"/>
        </w:rPr>
      </w:pPr>
      <w:r>
        <w:rPr>
          <w:rFonts w:ascii="宋体" w:hAnsi="宋体" w:cs="宋体" w:hint="eastAsia"/>
          <w:szCs w:val="21"/>
        </w:rPr>
        <w:t>学院非常重视与省就业中心、用人单位和人才市场的联系与合作。今年上半年，由学院分管领导带队，来自各学部负责就业工作的</w:t>
      </w:r>
      <w:r>
        <w:rPr>
          <w:rFonts w:ascii="宋体" w:hAnsi="宋体" w:cs="宋体" w:hint="eastAsia"/>
          <w:szCs w:val="21"/>
        </w:rPr>
        <w:t>10</w:t>
      </w:r>
      <w:r>
        <w:rPr>
          <w:rFonts w:ascii="宋体" w:hAnsi="宋体" w:cs="宋体" w:hint="eastAsia"/>
          <w:szCs w:val="21"/>
        </w:rPr>
        <w:t>多位老师，一同前往省就业中心和无锡珍岛集团进行调研学习。平时除组织学生参加母体学校南通大学就业大市</w:t>
      </w:r>
      <w:r>
        <w:rPr>
          <w:rFonts w:ascii="宋体" w:hAnsi="宋体" w:cs="宋体" w:hint="eastAsia"/>
          <w:szCs w:val="21"/>
        </w:rPr>
        <w:t>场和周末招聘会外，</w:t>
      </w:r>
      <w:r>
        <w:rPr>
          <w:rFonts w:ascii="宋体" w:hAnsi="宋体" w:cs="宋体" w:hint="eastAsia"/>
          <w:szCs w:val="21"/>
        </w:rPr>
        <w:t>2017</w:t>
      </w:r>
      <w:r>
        <w:rPr>
          <w:rFonts w:ascii="宋体" w:hAnsi="宋体" w:cs="宋体" w:hint="eastAsia"/>
          <w:szCs w:val="21"/>
        </w:rPr>
        <w:t>年学院举办春、夏、秋三季招聘会，邀请用人单位</w:t>
      </w:r>
      <w:r>
        <w:rPr>
          <w:rFonts w:ascii="宋体" w:hAnsi="宋体" w:cs="宋体" w:hint="eastAsia"/>
          <w:szCs w:val="21"/>
        </w:rPr>
        <w:t>300</w:t>
      </w:r>
      <w:r>
        <w:rPr>
          <w:rFonts w:ascii="宋体" w:hAnsi="宋体" w:cs="宋体" w:hint="eastAsia"/>
          <w:szCs w:val="21"/>
        </w:rPr>
        <w:t>余家，提供就业岗位</w:t>
      </w:r>
      <w:r>
        <w:rPr>
          <w:rFonts w:ascii="宋体" w:hAnsi="宋体" w:cs="宋体" w:hint="eastAsia"/>
          <w:szCs w:val="21"/>
        </w:rPr>
        <w:t>1500</w:t>
      </w:r>
      <w:r>
        <w:rPr>
          <w:rFonts w:ascii="宋体" w:hAnsi="宋体" w:cs="宋体" w:hint="eastAsia"/>
          <w:szCs w:val="21"/>
        </w:rPr>
        <w:t>余个，新增就业基地</w:t>
      </w:r>
      <w:r>
        <w:rPr>
          <w:rFonts w:ascii="宋体" w:hAnsi="宋体" w:cs="宋体" w:hint="eastAsia"/>
          <w:szCs w:val="21"/>
        </w:rPr>
        <w:t>26</w:t>
      </w:r>
      <w:r>
        <w:rPr>
          <w:rFonts w:ascii="宋体" w:hAnsi="宋体" w:cs="宋体" w:hint="eastAsia"/>
          <w:szCs w:val="21"/>
        </w:rPr>
        <w:t>家。</w:t>
      </w:r>
    </w:p>
    <w:p w:rsidR="00000000" w:rsidRDefault="009A1129">
      <w:pPr>
        <w:pStyle w:val="ab"/>
        <w:spacing w:line="480" w:lineRule="auto"/>
        <w:rPr>
          <w:rFonts w:ascii="宋体" w:hAnsi="宋体" w:cs="宋体" w:hint="eastAsia"/>
          <w:szCs w:val="21"/>
        </w:rPr>
      </w:pPr>
      <w:r>
        <w:rPr>
          <w:rFonts w:ascii="宋体" w:hAnsi="宋体" w:cs="宋体" w:hint="eastAsia"/>
          <w:szCs w:val="21"/>
        </w:rPr>
        <w:t>学院采取学部与专业学院对接方式，推进用人单位客户管理。学院定期</w:t>
      </w:r>
      <w:r>
        <w:rPr>
          <w:rFonts w:ascii="宋体" w:hAnsi="宋体" w:cs="宋体" w:hint="eastAsia"/>
          <w:szCs w:val="21"/>
        </w:rPr>
        <w:t>走访用人单位，调研就业需求和毕业生职业发展状况，</w:t>
      </w:r>
      <w:r>
        <w:rPr>
          <w:rFonts w:ascii="宋体" w:hAnsi="宋体" w:cs="宋体" w:hint="eastAsia"/>
          <w:szCs w:val="21"/>
        </w:rPr>
        <w:t>及时反馈并调整教学培养计划</w:t>
      </w:r>
      <w:r>
        <w:rPr>
          <w:rFonts w:ascii="宋体" w:hAnsi="宋体" w:cs="宋体" w:hint="eastAsia"/>
          <w:szCs w:val="21"/>
        </w:rPr>
        <w:t>。</w:t>
      </w:r>
      <w:r>
        <w:rPr>
          <w:rFonts w:ascii="宋体" w:hAnsi="宋体" w:cs="宋体" w:hint="eastAsia"/>
          <w:szCs w:val="21"/>
        </w:rPr>
        <w:t>学院除与南通市人才中心、南通市人力资源协会保持密切联系外，每年寒假分批奔赴省内各县市的人才市场，以学校集中推荐的方式促进毕业生就业。</w:t>
      </w:r>
    </w:p>
    <w:p w:rsidR="00000000" w:rsidRDefault="009A1129">
      <w:pPr>
        <w:pStyle w:val="ab"/>
        <w:spacing w:line="480" w:lineRule="auto"/>
        <w:rPr>
          <w:rFonts w:ascii="宋体" w:hAnsi="宋体" w:cs="宋体" w:hint="eastAsia"/>
          <w:szCs w:val="21"/>
        </w:rPr>
      </w:pPr>
    </w:p>
    <w:p w:rsidR="00000000" w:rsidRDefault="009A1129">
      <w:pPr>
        <w:pStyle w:val="ab"/>
        <w:spacing w:line="480" w:lineRule="auto"/>
        <w:ind w:firstLineChars="0" w:firstLine="0"/>
        <w:rPr>
          <w:rFonts w:ascii="宋体" w:hAnsi="宋体" w:cs="宋体" w:hint="eastAsia"/>
          <w:b/>
          <w:bCs/>
          <w:sz w:val="28"/>
          <w:szCs w:val="28"/>
        </w:rPr>
      </w:pPr>
      <w:r>
        <w:rPr>
          <w:rFonts w:ascii="宋体" w:hAnsi="宋体" w:cs="宋体" w:hint="eastAsia"/>
          <w:b/>
          <w:bCs/>
          <w:sz w:val="28"/>
          <w:szCs w:val="28"/>
        </w:rPr>
        <w:t>四</w:t>
      </w:r>
      <w:r>
        <w:rPr>
          <w:rFonts w:ascii="宋体" w:hAnsi="宋体" w:cs="宋体" w:hint="eastAsia"/>
          <w:b/>
          <w:bCs/>
          <w:sz w:val="28"/>
          <w:szCs w:val="28"/>
        </w:rPr>
        <w:t>、</w:t>
      </w:r>
      <w:r>
        <w:rPr>
          <w:rFonts w:ascii="宋体" w:hAnsi="宋体" w:cs="宋体" w:hint="eastAsia"/>
          <w:b/>
          <w:bCs/>
          <w:sz w:val="28"/>
          <w:szCs w:val="28"/>
        </w:rPr>
        <w:t>独立建档、跟踪服务，实现毕业生就业帮扶全覆盖</w:t>
      </w:r>
    </w:p>
    <w:p w:rsidR="00000000" w:rsidRDefault="009A1129">
      <w:pPr>
        <w:autoSpaceDE w:val="0"/>
        <w:autoSpaceDN w:val="0"/>
        <w:adjustRightInd w:val="0"/>
        <w:spacing w:line="480" w:lineRule="auto"/>
        <w:ind w:firstLineChars="200" w:firstLine="420"/>
        <w:jc w:val="left"/>
        <w:rPr>
          <w:rFonts w:ascii="宋体" w:hAnsi="宋体" w:cs="宋体" w:hint="eastAsia"/>
          <w:kern w:val="0"/>
          <w:szCs w:val="21"/>
        </w:rPr>
      </w:pPr>
      <w:r>
        <w:rPr>
          <w:rFonts w:ascii="宋体" w:hAnsi="宋体" w:cs="宋体" w:hint="eastAsia"/>
          <w:szCs w:val="21"/>
        </w:rPr>
        <w:t>学院将做</w:t>
      </w:r>
      <w:r>
        <w:rPr>
          <w:rFonts w:ascii="宋体" w:hAnsi="宋体" w:cs="宋体" w:hint="eastAsia"/>
          <w:szCs w:val="21"/>
        </w:rPr>
        <w:t>好就业</w:t>
      </w:r>
      <w:r>
        <w:rPr>
          <w:rFonts w:ascii="宋体" w:hAnsi="宋体" w:cs="宋体" w:hint="eastAsia"/>
          <w:szCs w:val="21"/>
        </w:rPr>
        <w:t>困难学生的</w:t>
      </w:r>
      <w:r>
        <w:rPr>
          <w:rFonts w:ascii="宋体" w:hAnsi="宋体" w:cs="宋体" w:hint="eastAsia"/>
          <w:szCs w:val="21"/>
        </w:rPr>
        <w:t>指导</w:t>
      </w:r>
      <w:r>
        <w:rPr>
          <w:rFonts w:ascii="宋体" w:hAnsi="宋体" w:cs="宋体" w:hint="eastAsia"/>
          <w:szCs w:val="21"/>
        </w:rPr>
        <w:t>作为毕业生工作的重要内容，制定</w:t>
      </w:r>
      <w:r>
        <w:rPr>
          <w:rFonts w:ascii="宋体" w:hAnsi="宋体" w:cs="宋体" w:hint="eastAsia"/>
          <w:szCs w:val="21"/>
        </w:rPr>
        <w:t>《南通大学杏林学</w:t>
      </w:r>
      <w:r>
        <w:rPr>
          <w:rFonts w:ascii="宋体" w:hAnsi="宋体" w:cs="宋体" w:hint="eastAsia"/>
          <w:szCs w:val="21"/>
        </w:rPr>
        <w:t>院就</w:t>
      </w:r>
      <w:r>
        <w:rPr>
          <w:rFonts w:hint="eastAsia"/>
        </w:rPr>
        <w:t>业</w:t>
      </w:r>
      <w:r>
        <w:rPr>
          <w:rFonts w:ascii="宋体" w:hAnsi="宋体" w:cs="宋体" w:hint="eastAsia"/>
          <w:szCs w:val="21"/>
        </w:rPr>
        <w:t>困难毕业生帮扶实施办法》，建</w:t>
      </w:r>
      <w:r>
        <w:rPr>
          <w:rFonts w:ascii="宋体" w:hAnsi="宋体" w:cs="宋体" w:hint="eastAsia"/>
          <w:szCs w:val="21"/>
        </w:rPr>
        <w:t>立就</w:t>
      </w:r>
      <w:r>
        <w:rPr>
          <w:rFonts w:hint="eastAsia"/>
        </w:rPr>
        <w:t>业</w:t>
      </w:r>
      <w:r>
        <w:rPr>
          <w:rFonts w:ascii="宋体" w:hAnsi="宋体" w:cs="宋体" w:hint="eastAsia"/>
          <w:szCs w:val="21"/>
        </w:rPr>
        <w:t>困难学生帮扶档案，</w:t>
      </w:r>
      <w:r>
        <w:rPr>
          <w:rFonts w:ascii="宋体" w:hAnsi="宋体" w:cs="宋体" w:hint="eastAsia"/>
          <w:szCs w:val="21"/>
        </w:rPr>
        <w:t>由就创业指导老师、心理咨询老师组成帮扶小组，对症下药，</w:t>
      </w:r>
      <w:r>
        <w:rPr>
          <w:rFonts w:ascii="宋体" w:hAnsi="宋体" w:cs="宋体" w:hint="eastAsia"/>
          <w:kern w:val="0"/>
          <w:szCs w:val="21"/>
        </w:rPr>
        <w:t>采取多种措施，</w:t>
      </w:r>
      <w:r>
        <w:rPr>
          <w:rFonts w:ascii="宋体" w:hAnsi="宋体" w:cs="宋体" w:hint="eastAsia"/>
          <w:kern w:val="0"/>
          <w:szCs w:val="21"/>
        </w:rPr>
        <w:t>协助就</w:t>
      </w:r>
      <w:r>
        <w:rPr>
          <w:rFonts w:hint="eastAsia"/>
        </w:rPr>
        <w:t>业</w:t>
      </w:r>
      <w:r>
        <w:rPr>
          <w:rFonts w:ascii="宋体" w:hAnsi="宋体" w:cs="宋体" w:hint="eastAsia"/>
          <w:kern w:val="0"/>
          <w:szCs w:val="21"/>
        </w:rPr>
        <w:t>困难毕业生走上工作岗位</w:t>
      </w:r>
      <w:r>
        <w:rPr>
          <w:rFonts w:ascii="宋体" w:hAnsi="宋体" w:cs="宋体" w:hint="eastAsia"/>
          <w:kern w:val="0"/>
          <w:szCs w:val="21"/>
        </w:rPr>
        <w:t>。</w:t>
      </w:r>
      <w:r>
        <w:rPr>
          <w:rFonts w:ascii="宋体" w:hAnsi="宋体" w:cs="宋体" w:hint="eastAsia"/>
          <w:kern w:val="0"/>
          <w:szCs w:val="21"/>
        </w:rPr>
        <w:t>2017</w:t>
      </w:r>
      <w:r>
        <w:rPr>
          <w:rFonts w:ascii="宋体" w:hAnsi="宋体" w:cs="宋体" w:hint="eastAsia"/>
          <w:kern w:val="0"/>
          <w:szCs w:val="21"/>
        </w:rPr>
        <w:t>年，学院为</w:t>
      </w:r>
      <w:r>
        <w:rPr>
          <w:rFonts w:ascii="宋体" w:hAnsi="宋体" w:cs="宋体" w:hint="eastAsia"/>
          <w:kern w:val="0"/>
          <w:szCs w:val="21"/>
        </w:rPr>
        <w:t>109</w:t>
      </w:r>
      <w:r>
        <w:rPr>
          <w:rFonts w:ascii="宋体" w:hAnsi="宋体" w:cs="宋体" w:hint="eastAsia"/>
          <w:kern w:val="0"/>
          <w:szCs w:val="21"/>
        </w:rPr>
        <w:t>名</w:t>
      </w:r>
      <w:r>
        <w:rPr>
          <w:rFonts w:ascii="宋体" w:hAnsi="宋体" w:cs="宋体" w:hint="eastAsia"/>
          <w:kern w:val="0"/>
          <w:szCs w:val="21"/>
        </w:rPr>
        <w:t>2018</w:t>
      </w:r>
      <w:r>
        <w:rPr>
          <w:rFonts w:ascii="宋体" w:hAnsi="宋体" w:cs="宋体" w:hint="eastAsia"/>
          <w:kern w:val="0"/>
          <w:szCs w:val="21"/>
        </w:rPr>
        <w:t>届毕业生申请办理求职创业补贴，合计</w:t>
      </w:r>
      <w:r>
        <w:rPr>
          <w:rFonts w:ascii="宋体" w:hAnsi="宋体" w:cs="宋体" w:hint="eastAsia"/>
          <w:kern w:val="0"/>
          <w:szCs w:val="21"/>
        </w:rPr>
        <w:t>16.35</w:t>
      </w:r>
      <w:r>
        <w:rPr>
          <w:rFonts w:ascii="宋体" w:hAnsi="宋体" w:cs="宋体" w:hint="eastAsia"/>
          <w:kern w:val="0"/>
          <w:szCs w:val="21"/>
        </w:rPr>
        <w:t>万元。</w:t>
      </w:r>
      <w:r>
        <w:rPr>
          <w:rFonts w:ascii="宋体" w:hAnsi="宋体" w:cs="宋体" w:hint="eastAsia"/>
          <w:kern w:val="0"/>
          <w:szCs w:val="21"/>
        </w:rPr>
        <w:t>同时，做好未就业毕业生的跟踪服务，及时掌握毕业生就业动态，</w:t>
      </w:r>
      <w:r>
        <w:rPr>
          <w:rFonts w:ascii="宋体" w:hAnsi="宋体" w:cs="宋体" w:hint="eastAsia"/>
          <w:kern w:val="0"/>
          <w:szCs w:val="21"/>
        </w:rPr>
        <w:t>及时给予心理等方面的指导，</w:t>
      </w:r>
      <w:r>
        <w:rPr>
          <w:rFonts w:ascii="宋体" w:hAnsi="宋体" w:cs="宋体" w:hint="eastAsia"/>
          <w:kern w:val="0"/>
          <w:szCs w:val="21"/>
        </w:rPr>
        <w:t>帮助他们解决</w:t>
      </w:r>
      <w:r>
        <w:rPr>
          <w:rFonts w:ascii="宋体" w:hAnsi="宋体" w:cs="宋体" w:hint="eastAsia"/>
          <w:kern w:val="0"/>
          <w:szCs w:val="21"/>
        </w:rPr>
        <w:lastRenderedPageBreak/>
        <w:t>就业</w:t>
      </w:r>
      <w:r>
        <w:rPr>
          <w:rFonts w:ascii="宋体" w:hAnsi="宋体" w:cs="宋体" w:hint="eastAsia"/>
          <w:kern w:val="0"/>
          <w:szCs w:val="21"/>
        </w:rPr>
        <w:t>创业</w:t>
      </w:r>
      <w:r>
        <w:rPr>
          <w:rFonts w:ascii="宋体" w:hAnsi="宋体" w:cs="宋体" w:hint="eastAsia"/>
          <w:kern w:val="0"/>
          <w:szCs w:val="21"/>
        </w:rPr>
        <w:t>中的困难。</w:t>
      </w:r>
    </w:p>
    <w:p w:rsidR="00000000" w:rsidRDefault="009A1129">
      <w:pPr>
        <w:autoSpaceDE w:val="0"/>
        <w:autoSpaceDN w:val="0"/>
        <w:adjustRightInd w:val="0"/>
        <w:spacing w:line="480" w:lineRule="auto"/>
        <w:ind w:firstLineChars="200" w:firstLine="420"/>
        <w:jc w:val="left"/>
        <w:rPr>
          <w:rFonts w:ascii="宋体" w:hAnsi="宋体" w:cs="宋体" w:hint="eastAsia"/>
          <w:kern w:val="0"/>
          <w:szCs w:val="21"/>
        </w:rPr>
      </w:pPr>
    </w:p>
    <w:p w:rsidR="00000000" w:rsidRDefault="009A1129">
      <w:pPr>
        <w:pStyle w:val="ab"/>
        <w:spacing w:line="480" w:lineRule="auto"/>
        <w:ind w:firstLineChars="0" w:firstLine="0"/>
        <w:rPr>
          <w:rFonts w:ascii="宋体" w:hAnsi="宋体" w:cs="宋体" w:hint="eastAsia"/>
          <w:b/>
          <w:bCs/>
          <w:sz w:val="28"/>
          <w:szCs w:val="28"/>
        </w:rPr>
      </w:pPr>
      <w:r>
        <w:rPr>
          <w:rFonts w:ascii="宋体" w:hAnsi="宋体" w:cs="宋体" w:hint="eastAsia"/>
          <w:b/>
          <w:bCs/>
          <w:sz w:val="28"/>
          <w:szCs w:val="28"/>
        </w:rPr>
        <w:t>五</w:t>
      </w:r>
      <w:r>
        <w:rPr>
          <w:rFonts w:ascii="宋体" w:hAnsi="宋体" w:cs="宋体" w:hint="eastAsia"/>
          <w:b/>
          <w:bCs/>
          <w:sz w:val="28"/>
          <w:szCs w:val="28"/>
        </w:rPr>
        <w:t>、</w:t>
      </w:r>
      <w:r>
        <w:rPr>
          <w:rFonts w:ascii="宋体" w:hAnsi="宋体" w:cs="宋体" w:hint="eastAsia"/>
          <w:b/>
          <w:bCs/>
          <w:sz w:val="28"/>
          <w:szCs w:val="28"/>
        </w:rPr>
        <w:t>理论学习与实践创新并重，打造专家型就创业指导团队</w:t>
      </w:r>
    </w:p>
    <w:p w:rsidR="00000000" w:rsidRDefault="009A1129">
      <w:pPr>
        <w:spacing w:line="480" w:lineRule="auto"/>
        <w:jc w:val="left"/>
        <w:rPr>
          <w:rFonts w:ascii="楷体_GB2312" w:eastAsia="楷体_GB2312" w:hAnsi="楷体_GB2312" w:cs="楷体_GB2312" w:hint="eastAsia"/>
          <w:b/>
          <w:bCs/>
          <w:sz w:val="36"/>
          <w:szCs w:val="36"/>
        </w:rPr>
      </w:pPr>
      <w:r>
        <w:rPr>
          <w:rFonts w:ascii="宋体" w:hAnsi="宋体" w:cs="宋体" w:hint="eastAsia"/>
          <w:szCs w:val="21"/>
        </w:rPr>
        <w:t xml:space="preserve">    </w:t>
      </w:r>
      <w:r>
        <w:rPr>
          <w:rFonts w:ascii="宋体" w:hAnsi="宋体" w:cs="宋体" w:hint="eastAsia"/>
          <w:szCs w:val="21"/>
        </w:rPr>
        <w:t>学院现有</w:t>
      </w:r>
      <w:r>
        <w:rPr>
          <w:rFonts w:ascii="宋体" w:hAnsi="宋体" w:cs="宋体" w:hint="eastAsia"/>
          <w:szCs w:val="21"/>
        </w:rPr>
        <w:t>一支专业的就创业指导教师团队，</w:t>
      </w:r>
      <w:r>
        <w:rPr>
          <w:rFonts w:ascii="宋体" w:hAnsi="宋体" w:cs="宋体" w:hint="eastAsia"/>
          <w:szCs w:val="21"/>
        </w:rPr>
        <w:t>16</w:t>
      </w:r>
      <w:r>
        <w:rPr>
          <w:rFonts w:ascii="宋体" w:hAnsi="宋体" w:cs="宋体" w:hint="eastAsia"/>
          <w:szCs w:val="21"/>
        </w:rPr>
        <w:t>位教师通过了国家职业指导师和心理</w:t>
      </w:r>
      <w:r>
        <w:rPr>
          <w:rFonts w:ascii="宋体" w:hAnsi="宋体" w:cs="宋体" w:hint="eastAsia"/>
          <w:szCs w:val="21"/>
        </w:rPr>
        <w:t>咨询师考试，</w:t>
      </w:r>
      <w:r>
        <w:rPr>
          <w:rFonts w:ascii="宋体" w:hAnsi="宋体" w:cs="宋体" w:hint="eastAsia"/>
          <w:szCs w:val="21"/>
        </w:rPr>
        <w:t>含</w:t>
      </w:r>
      <w:r>
        <w:rPr>
          <w:rFonts w:ascii="宋体" w:hAnsi="宋体" w:cs="宋体" w:hint="eastAsia"/>
          <w:szCs w:val="21"/>
        </w:rPr>
        <w:t>国家高级职业指导师</w:t>
      </w:r>
      <w:r>
        <w:rPr>
          <w:rFonts w:ascii="宋体" w:hAnsi="宋体" w:cs="宋体" w:hint="eastAsia"/>
          <w:szCs w:val="21"/>
        </w:rPr>
        <w:t>、</w:t>
      </w:r>
      <w:r>
        <w:rPr>
          <w:rFonts w:ascii="宋体" w:hAnsi="宋体" w:cs="宋体" w:hint="eastAsia"/>
          <w:szCs w:val="21"/>
        </w:rPr>
        <w:t>全球职业生涯规划师</w:t>
      </w:r>
      <w:r>
        <w:rPr>
          <w:rFonts w:ascii="宋体" w:hAnsi="宋体" w:cs="宋体" w:hint="eastAsia"/>
          <w:szCs w:val="21"/>
        </w:rPr>
        <w:t>、</w:t>
      </w:r>
      <w:r>
        <w:rPr>
          <w:rFonts w:ascii="宋体" w:hAnsi="宋体" w:cs="宋体" w:hint="eastAsia"/>
          <w:szCs w:val="21"/>
        </w:rPr>
        <w:t>创业咨询师、</w:t>
      </w:r>
      <w:r>
        <w:rPr>
          <w:rFonts w:ascii="宋体" w:hAnsi="宋体" w:cs="宋体" w:hint="eastAsia"/>
          <w:szCs w:val="21"/>
        </w:rPr>
        <w:t>SYB</w:t>
      </w:r>
      <w:r>
        <w:rPr>
          <w:rFonts w:ascii="宋体" w:hAnsi="宋体" w:cs="宋体" w:hint="eastAsia"/>
          <w:szCs w:val="21"/>
        </w:rPr>
        <w:t>和</w:t>
      </w:r>
      <w:r>
        <w:rPr>
          <w:rFonts w:ascii="宋体" w:hAnsi="宋体" w:cs="宋体" w:hint="eastAsia"/>
          <w:szCs w:val="21"/>
        </w:rPr>
        <w:t>KAB</w:t>
      </w:r>
      <w:r>
        <w:rPr>
          <w:rFonts w:ascii="宋体" w:hAnsi="宋体" w:cs="宋体" w:hint="eastAsia"/>
          <w:szCs w:val="21"/>
        </w:rPr>
        <w:t>讲师、创业实训师</w:t>
      </w:r>
      <w:r>
        <w:rPr>
          <w:rFonts w:ascii="宋体" w:hAnsi="宋体" w:cs="宋体" w:hint="eastAsia"/>
          <w:szCs w:val="21"/>
        </w:rPr>
        <w:t>、</w:t>
      </w:r>
      <w:r>
        <w:rPr>
          <w:rFonts w:ascii="宋体" w:hAnsi="宋体" w:cs="宋体" w:hint="eastAsia"/>
          <w:szCs w:val="21"/>
        </w:rPr>
        <w:t>护理人才通用能力培训项目师资</w:t>
      </w:r>
      <w:r>
        <w:rPr>
          <w:rFonts w:ascii="宋体" w:hAnsi="宋体" w:cs="宋体" w:hint="eastAsia"/>
          <w:szCs w:val="21"/>
        </w:rPr>
        <w:t>、</w:t>
      </w:r>
      <w:r>
        <w:rPr>
          <w:rFonts w:ascii="宋体" w:hAnsi="宋体" w:cs="宋体" w:hint="eastAsia"/>
          <w:szCs w:val="21"/>
        </w:rPr>
        <w:t>PTT</w:t>
      </w:r>
      <w:r>
        <w:rPr>
          <w:rFonts w:ascii="宋体" w:hAnsi="宋体" w:cs="宋体" w:hint="eastAsia"/>
          <w:szCs w:val="21"/>
        </w:rPr>
        <w:t>讲师</w:t>
      </w:r>
      <w:r>
        <w:rPr>
          <w:rFonts w:ascii="宋体" w:hAnsi="宋体" w:cs="宋体" w:hint="eastAsia"/>
          <w:szCs w:val="21"/>
        </w:rPr>
        <w:t>等</w:t>
      </w:r>
      <w:r>
        <w:rPr>
          <w:rFonts w:ascii="宋体" w:hAnsi="宋体" w:cs="宋体" w:hint="eastAsia"/>
          <w:szCs w:val="21"/>
        </w:rPr>
        <w:t>。学院</w:t>
      </w:r>
      <w:r>
        <w:rPr>
          <w:rFonts w:ascii="宋体" w:hAnsi="宋体" w:cs="宋体" w:hint="eastAsia"/>
          <w:szCs w:val="21"/>
        </w:rPr>
        <w:t>定期组织专题学习、座谈会、辅导员提升班，</w:t>
      </w:r>
      <w:r>
        <w:rPr>
          <w:rFonts w:ascii="宋体" w:hAnsi="宋体" w:cs="宋体" w:hint="eastAsia"/>
          <w:szCs w:val="21"/>
        </w:rPr>
        <w:t>鼓励</w:t>
      </w:r>
      <w:r>
        <w:rPr>
          <w:rFonts w:ascii="宋体" w:hAnsi="宋体" w:cs="宋体" w:hint="eastAsia"/>
          <w:szCs w:val="21"/>
        </w:rPr>
        <w:t>就创业</w:t>
      </w:r>
      <w:r>
        <w:rPr>
          <w:rFonts w:ascii="宋体" w:hAnsi="宋体" w:cs="宋体" w:hint="eastAsia"/>
          <w:szCs w:val="21"/>
        </w:rPr>
        <w:t>工作人员进行独立学院就</w:t>
      </w:r>
      <w:r>
        <w:rPr>
          <w:rFonts w:ascii="宋体" w:hAnsi="宋体" w:cs="宋体" w:hint="eastAsia"/>
          <w:szCs w:val="21"/>
        </w:rPr>
        <w:t>创</w:t>
      </w:r>
      <w:r>
        <w:rPr>
          <w:rFonts w:ascii="宋体" w:hAnsi="宋体" w:cs="宋体" w:hint="eastAsia"/>
          <w:szCs w:val="21"/>
        </w:rPr>
        <w:t>业工作理论与实践创新，提升科研创新能力，打造学习型、研究型队伍。</w:t>
      </w:r>
    </w:p>
    <w:p w:rsidR="00000000" w:rsidRDefault="009A1129">
      <w:pPr>
        <w:spacing w:line="480" w:lineRule="auto"/>
        <w:jc w:val="center"/>
        <w:rPr>
          <w:rFonts w:ascii="楷体_GB2312" w:eastAsia="楷体_GB2312" w:hAnsi="楷体_GB2312" w:cs="楷体_GB2312" w:hint="eastAsia"/>
          <w:b/>
          <w:bCs/>
          <w:sz w:val="36"/>
          <w:szCs w:val="36"/>
        </w:rPr>
      </w:pPr>
    </w:p>
    <w:p w:rsidR="00000000" w:rsidRDefault="009A1129">
      <w:pPr>
        <w:spacing w:line="480" w:lineRule="auto"/>
        <w:jc w:val="center"/>
        <w:rPr>
          <w:rFonts w:ascii="楷体_GB2312" w:eastAsia="楷体_GB2312" w:hAnsi="楷体_GB2312" w:cs="楷体_GB2312" w:hint="eastAsia"/>
          <w:b/>
          <w:bCs/>
          <w:sz w:val="36"/>
          <w:szCs w:val="36"/>
        </w:rPr>
      </w:pPr>
    </w:p>
    <w:p w:rsidR="00000000" w:rsidRDefault="009A1129">
      <w:pPr>
        <w:spacing w:line="480" w:lineRule="auto"/>
        <w:jc w:val="center"/>
        <w:rPr>
          <w:rFonts w:ascii="楷体_GB2312" w:eastAsia="楷体_GB2312" w:hAnsi="楷体_GB2312" w:cs="楷体_GB2312" w:hint="eastAsia"/>
          <w:b/>
          <w:bCs/>
          <w:sz w:val="36"/>
          <w:szCs w:val="36"/>
        </w:rPr>
      </w:pPr>
    </w:p>
    <w:p w:rsidR="00000000" w:rsidRDefault="009A1129">
      <w:pPr>
        <w:spacing w:line="480" w:lineRule="auto"/>
        <w:rPr>
          <w:rFonts w:ascii="楷体_GB2312" w:eastAsia="楷体_GB2312" w:hAnsi="楷体_GB2312" w:cs="楷体_GB2312" w:hint="eastAsia"/>
          <w:b/>
          <w:bCs/>
          <w:sz w:val="36"/>
          <w:szCs w:val="36"/>
        </w:rPr>
      </w:pPr>
    </w:p>
    <w:p w:rsidR="00000000" w:rsidRDefault="009A1129">
      <w:pPr>
        <w:spacing w:line="480" w:lineRule="auto"/>
        <w:rPr>
          <w:rFonts w:ascii="楷体_GB2312" w:eastAsia="楷体_GB2312" w:hAnsi="楷体_GB2312" w:cs="楷体_GB2312" w:hint="eastAsia"/>
          <w:b/>
          <w:bCs/>
          <w:sz w:val="36"/>
          <w:szCs w:val="36"/>
        </w:rPr>
      </w:pPr>
    </w:p>
    <w:p w:rsidR="00000000" w:rsidRDefault="009A1129">
      <w:pPr>
        <w:spacing w:line="480" w:lineRule="auto"/>
        <w:rPr>
          <w:rFonts w:ascii="楷体_GB2312" w:eastAsia="楷体_GB2312" w:hAnsi="楷体_GB2312" w:cs="楷体_GB2312" w:hint="eastAsia"/>
          <w:b/>
          <w:bCs/>
          <w:sz w:val="36"/>
          <w:szCs w:val="36"/>
        </w:rPr>
      </w:pPr>
    </w:p>
    <w:p w:rsidR="00000000" w:rsidRDefault="009A1129">
      <w:pPr>
        <w:spacing w:line="480" w:lineRule="auto"/>
        <w:rPr>
          <w:rFonts w:ascii="楷体_GB2312" w:eastAsia="楷体_GB2312" w:hAnsi="楷体_GB2312" w:cs="楷体_GB2312" w:hint="eastAsia"/>
          <w:b/>
          <w:bCs/>
          <w:sz w:val="36"/>
          <w:szCs w:val="36"/>
        </w:rPr>
      </w:pPr>
    </w:p>
    <w:p w:rsidR="00000000" w:rsidRDefault="009A1129">
      <w:pPr>
        <w:spacing w:line="480" w:lineRule="auto"/>
        <w:rPr>
          <w:rFonts w:ascii="楷体_GB2312" w:eastAsia="楷体_GB2312" w:hAnsi="楷体_GB2312" w:cs="楷体_GB2312" w:hint="eastAsia"/>
          <w:b/>
          <w:bCs/>
          <w:sz w:val="36"/>
          <w:szCs w:val="36"/>
        </w:rPr>
      </w:pPr>
    </w:p>
    <w:p w:rsidR="00000000" w:rsidRDefault="009A1129">
      <w:pPr>
        <w:spacing w:line="480" w:lineRule="auto"/>
        <w:rPr>
          <w:rFonts w:ascii="楷体_GB2312" w:eastAsia="楷体_GB2312" w:hAnsi="楷体_GB2312" w:cs="楷体_GB2312" w:hint="eastAsia"/>
          <w:b/>
          <w:bCs/>
          <w:sz w:val="36"/>
          <w:szCs w:val="36"/>
        </w:rPr>
      </w:pPr>
    </w:p>
    <w:p w:rsidR="00000000" w:rsidRDefault="009A1129">
      <w:pPr>
        <w:spacing w:line="480" w:lineRule="auto"/>
        <w:rPr>
          <w:rFonts w:ascii="楷体_GB2312" w:eastAsia="楷体_GB2312" w:hAnsi="楷体_GB2312" w:cs="楷体_GB2312" w:hint="eastAsia"/>
          <w:b/>
          <w:bCs/>
          <w:sz w:val="36"/>
          <w:szCs w:val="36"/>
        </w:rPr>
      </w:pPr>
    </w:p>
    <w:p w:rsidR="00000000" w:rsidRDefault="009A1129">
      <w:pPr>
        <w:spacing w:line="480" w:lineRule="auto"/>
        <w:rPr>
          <w:rFonts w:ascii="楷体_GB2312" w:eastAsia="楷体_GB2312" w:hAnsi="楷体_GB2312" w:cs="楷体_GB2312" w:hint="eastAsia"/>
          <w:b/>
          <w:bCs/>
          <w:sz w:val="36"/>
          <w:szCs w:val="36"/>
        </w:rPr>
      </w:pPr>
    </w:p>
    <w:p w:rsidR="00000000" w:rsidRDefault="009A1129">
      <w:pPr>
        <w:spacing w:line="480" w:lineRule="auto"/>
        <w:rPr>
          <w:rFonts w:ascii="楷体_GB2312" w:eastAsia="楷体_GB2312" w:hAnsi="楷体_GB2312" w:cs="楷体_GB2312" w:hint="eastAsia"/>
          <w:b/>
          <w:bCs/>
          <w:sz w:val="36"/>
          <w:szCs w:val="36"/>
        </w:rPr>
      </w:pPr>
    </w:p>
    <w:p w:rsidR="00000000" w:rsidRDefault="009A1129">
      <w:pPr>
        <w:spacing w:line="480" w:lineRule="auto"/>
        <w:rPr>
          <w:rFonts w:ascii="楷体_GB2312" w:eastAsia="楷体_GB2312" w:hAnsi="楷体_GB2312" w:cs="楷体_GB2312" w:hint="eastAsia"/>
          <w:b/>
          <w:bCs/>
          <w:sz w:val="36"/>
          <w:szCs w:val="36"/>
        </w:rPr>
      </w:pPr>
    </w:p>
    <w:p w:rsidR="00000000" w:rsidRDefault="009A1129">
      <w:pPr>
        <w:spacing w:line="480" w:lineRule="auto"/>
        <w:rPr>
          <w:rFonts w:ascii="楷体_GB2312" w:eastAsia="楷体_GB2312" w:hAnsi="楷体_GB2312" w:cs="楷体_GB2312" w:hint="eastAsia"/>
          <w:b/>
          <w:bCs/>
          <w:sz w:val="36"/>
          <w:szCs w:val="36"/>
        </w:rPr>
      </w:pPr>
    </w:p>
    <w:p w:rsidR="00000000" w:rsidRDefault="009A1129">
      <w:pPr>
        <w:spacing w:line="480" w:lineRule="auto"/>
        <w:ind w:left="420"/>
        <w:jc w:val="center"/>
        <w:rPr>
          <w:rFonts w:ascii="楷体_GB2312" w:eastAsia="楷体_GB2312" w:hAnsi="楷体_GB2312" w:cs="楷体_GB2312"/>
          <w:b/>
          <w:bCs/>
          <w:sz w:val="36"/>
          <w:szCs w:val="36"/>
        </w:rPr>
      </w:pPr>
      <w:r>
        <w:rPr>
          <w:rFonts w:ascii="楷体_GB2312" w:eastAsia="楷体_GB2312" w:hAnsi="楷体_GB2312" w:cs="楷体_GB2312" w:hint="eastAsia"/>
          <w:b/>
          <w:bCs/>
          <w:sz w:val="36"/>
          <w:szCs w:val="36"/>
        </w:rPr>
        <w:lastRenderedPageBreak/>
        <w:t>第三部分</w:t>
      </w:r>
      <w:r>
        <w:rPr>
          <w:rFonts w:ascii="楷体_GB2312" w:eastAsia="楷体_GB2312" w:hAnsi="楷体_GB2312" w:cs="楷体_GB2312" w:hint="eastAsia"/>
          <w:b/>
          <w:bCs/>
          <w:sz w:val="36"/>
          <w:szCs w:val="36"/>
        </w:rPr>
        <w:t xml:space="preserve">  </w:t>
      </w:r>
      <w:r>
        <w:rPr>
          <w:rFonts w:ascii="楷体_GB2312" w:eastAsia="楷体_GB2312" w:hAnsi="楷体_GB2312" w:cs="楷体_GB2312" w:hint="eastAsia"/>
          <w:b/>
          <w:bCs/>
          <w:sz w:val="36"/>
          <w:szCs w:val="36"/>
        </w:rPr>
        <w:t>就业相关分析</w:t>
      </w:r>
    </w:p>
    <w:p w:rsidR="00000000" w:rsidRDefault="009A1129">
      <w:pPr>
        <w:spacing w:line="480" w:lineRule="auto"/>
        <w:jc w:val="left"/>
        <w:rPr>
          <w:rFonts w:ascii="楷体_GB2312" w:eastAsia="楷体_GB2312" w:hAnsi="楷体_GB2312" w:cs="楷体_GB2312"/>
          <w:sz w:val="28"/>
          <w:szCs w:val="28"/>
        </w:rPr>
      </w:pPr>
      <w:r>
        <w:rPr>
          <w:rFonts w:ascii="楷体_GB2312" w:eastAsia="楷体_GB2312" w:hAnsi="楷体_GB2312" w:cs="楷体_GB2312" w:hint="eastAsia"/>
          <w:b/>
          <w:bCs/>
          <w:sz w:val="32"/>
          <w:szCs w:val="32"/>
        </w:rPr>
        <w:t>一、近三年毕业生就业分析</w:t>
      </w:r>
    </w:p>
    <w:p w:rsidR="00000000" w:rsidRDefault="009A1129">
      <w:pPr>
        <w:numPr>
          <w:ilvl w:val="0"/>
          <w:numId w:val="5"/>
        </w:numPr>
        <w:spacing w:line="480" w:lineRule="auto"/>
        <w:jc w:val="left"/>
        <w:rPr>
          <w:rFonts w:ascii="楷体_GB2312" w:eastAsia="楷体_GB2312" w:hAnsi="楷体_GB2312" w:cs="楷体_GB2312"/>
          <w:b/>
          <w:sz w:val="32"/>
          <w:szCs w:val="32"/>
        </w:rPr>
      </w:pPr>
      <w:r>
        <w:rPr>
          <w:rFonts w:ascii="楷体_GB2312" w:eastAsia="楷体_GB2312" w:hAnsi="楷体_GB2312" w:cs="楷体_GB2312" w:hint="eastAsia"/>
          <w:b/>
          <w:sz w:val="32"/>
          <w:szCs w:val="32"/>
        </w:rPr>
        <w:t>就业率</w:t>
      </w:r>
    </w:p>
    <w:p w:rsidR="00000000" w:rsidRDefault="009A1129">
      <w:pPr>
        <w:spacing w:line="480" w:lineRule="auto"/>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在严峻的就业形势下，学院以加强就业指导服务，拓宽就业渠道，鼓励学生升学出国等方式促进学生就业。近三年，我院毕业生初次就业率依次为</w:t>
      </w:r>
      <w:r>
        <w:rPr>
          <w:rFonts w:ascii="楷体_GB2312" w:eastAsia="楷体_GB2312" w:hAnsi="楷体_GB2312" w:cs="楷体_GB2312" w:hint="eastAsia"/>
          <w:sz w:val="28"/>
          <w:szCs w:val="28"/>
        </w:rPr>
        <w:t>87.85</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88.19%</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85.26%</w:t>
      </w:r>
      <w:r>
        <w:rPr>
          <w:rFonts w:ascii="楷体_GB2312" w:eastAsia="楷体_GB2312" w:hAnsi="楷体_GB2312" w:cs="楷体_GB2312" w:hint="eastAsia"/>
          <w:sz w:val="28"/>
          <w:szCs w:val="28"/>
        </w:rPr>
        <w:t>，年终就业率依次为</w:t>
      </w:r>
      <w:r>
        <w:rPr>
          <w:rFonts w:ascii="楷体_GB2312" w:eastAsia="楷体_GB2312" w:hAnsi="楷体_GB2312" w:cs="楷体_GB2312" w:hint="eastAsia"/>
          <w:sz w:val="28"/>
          <w:szCs w:val="28"/>
        </w:rPr>
        <w:t>97.92%</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98.06%</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97.79%</w:t>
      </w:r>
      <w:r>
        <w:rPr>
          <w:rFonts w:ascii="楷体_GB2312" w:eastAsia="楷体_GB2312" w:hAnsi="楷体_GB2312" w:cs="楷体_GB2312" w:hint="eastAsia"/>
          <w:sz w:val="28"/>
          <w:szCs w:val="28"/>
        </w:rPr>
        <w:t>，总协议率依次为</w:t>
      </w:r>
      <w:r>
        <w:rPr>
          <w:rFonts w:ascii="楷体_GB2312" w:eastAsia="楷体_GB2312" w:hAnsi="楷体_GB2312" w:cs="楷体_GB2312" w:hint="eastAsia"/>
          <w:sz w:val="28"/>
          <w:szCs w:val="28"/>
        </w:rPr>
        <w:t>95.34%</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95.52%</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92.60%</w:t>
      </w:r>
      <w:r>
        <w:rPr>
          <w:rFonts w:ascii="楷体_GB2312" w:eastAsia="楷体_GB2312" w:hAnsi="楷体_GB2312" w:cs="楷体_GB2312" w:hint="eastAsia"/>
          <w:sz w:val="28"/>
          <w:szCs w:val="28"/>
        </w:rPr>
        <w:t>。初次就业率</w:t>
      </w:r>
      <w:r>
        <w:rPr>
          <w:rFonts w:ascii="楷体_GB2312" w:eastAsia="楷体_GB2312" w:hAnsi="楷体_GB2312" w:cs="楷体_GB2312" w:hint="eastAsia"/>
          <w:sz w:val="28"/>
          <w:szCs w:val="28"/>
        </w:rPr>
        <w:t>保持在</w:t>
      </w:r>
      <w:r>
        <w:rPr>
          <w:rFonts w:ascii="楷体_GB2312" w:eastAsia="楷体_GB2312" w:hAnsi="楷体_GB2312" w:cs="楷体_GB2312" w:hint="eastAsia"/>
          <w:sz w:val="28"/>
          <w:szCs w:val="28"/>
        </w:rPr>
        <w:t>85%</w:t>
      </w:r>
      <w:r>
        <w:rPr>
          <w:rFonts w:ascii="楷体_GB2312" w:eastAsia="楷体_GB2312" w:hAnsi="楷体_GB2312" w:cs="楷体_GB2312" w:hint="eastAsia"/>
          <w:sz w:val="28"/>
          <w:szCs w:val="28"/>
        </w:rPr>
        <w:t>以上</w:t>
      </w:r>
      <w:r>
        <w:rPr>
          <w:rFonts w:ascii="楷体_GB2312" w:eastAsia="楷体_GB2312" w:hAnsi="楷体_GB2312" w:cs="楷体_GB2312" w:hint="eastAsia"/>
          <w:sz w:val="28"/>
          <w:szCs w:val="28"/>
        </w:rPr>
        <w:t>，年终就业率稳定在</w:t>
      </w:r>
      <w:r>
        <w:rPr>
          <w:rFonts w:ascii="楷体_GB2312" w:eastAsia="楷体_GB2312" w:hAnsi="楷体_GB2312" w:cs="楷体_GB2312" w:hint="eastAsia"/>
          <w:sz w:val="28"/>
          <w:szCs w:val="28"/>
        </w:rPr>
        <w:t>98%</w:t>
      </w:r>
      <w:r>
        <w:rPr>
          <w:rFonts w:ascii="楷体_GB2312" w:eastAsia="楷体_GB2312" w:hAnsi="楷体_GB2312" w:cs="楷体_GB2312" w:hint="eastAsia"/>
          <w:sz w:val="28"/>
          <w:szCs w:val="28"/>
        </w:rPr>
        <w:t>左右</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见图</w:t>
      </w:r>
      <w:r>
        <w:rPr>
          <w:rFonts w:ascii="楷体_GB2312" w:eastAsia="楷体_GB2312" w:hAnsi="楷体_GB2312" w:cs="楷体_GB2312" w:hint="eastAsia"/>
          <w:sz w:val="28"/>
          <w:szCs w:val="28"/>
        </w:rPr>
        <w:t>3-1</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w:t>
      </w:r>
    </w:p>
    <w:p w:rsidR="00000000" w:rsidRDefault="006666D3">
      <w:pPr>
        <w:spacing w:line="480" w:lineRule="auto"/>
        <w:ind w:firstLineChars="200" w:firstLine="420"/>
        <w:jc w:val="center"/>
        <w:rPr>
          <w:rFonts w:ascii="楷体_GB2312" w:eastAsia="楷体_GB2312" w:hAnsi="楷体_GB2312" w:cs="楷体_GB2312"/>
          <w:sz w:val="28"/>
          <w:szCs w:val="28"/>
        </w:rPr>
      </w:pPr>
      <w:r>
        <w:rPr>
          <w:noProof/>
        </w:rPr>
        <w:drawing>
          <wp:inline distT="0" distB="0" distL="0" distR="0">
            <wp:extent cx="4572000" cy="3371850"/>
            <wp:effectExtent l="4445" t="4445" r="14605" b="14605"/>
            <wp:docPr id="18" name="图表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00000" w:rsidRDefault="009A1129">
      <w:pPr>
        <w:spacing w:line="480" w:lineRule="auto"/>
        <w:jc w:val="center"/>
        <w:rPr>
          <w:rFonts w:ascii="楷体_GB2312" w:eastAsia="楷体_GB2312" w:hAnsi="楷体_GB2312" w:cs="楷体_GB2312" w:hint="eastAsia"/>
          <w:b/>
          <w:bCs/>
          <w:sz w:val="28"/>
          <w:szCs w:val="28"/>
        </w:rPr>
      </w:pP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 xml:space="preserve">3-1  </w:t>
      </w:r>
      <w:r>
        <w:rPr>
          <w:rFonts w:ascii="楷体_GB2312" w:eastAsia="楷体_GB2312" w:hAnsi="楷体_GB2312" w:cs="楷体_GB2312" w:hint="eastAsia"/>
          <w:b/>
          <w:bCs/>
          <w:sz w:val="28"/>
          <w:szCs w:val="28"/>
        </w:rPr>
        <w:t>近三年毕业生就业率情况</w:t>
      </w:r>
    </w:p>
    <w:p w:rsidR="00000000" w:rsidRDefault="009A1129">
      <w:pPr>
        <w:spacing w:line="480" w:lineRule="auto"/>
        <w:jc w:val="center"/>
        <w:rPr>
          <w:rFonts w:ascii="楷体_GB2312" w:eastAsia="楷体_GB2312" w:hAnsi="楷体_GB2312" w:cs="楷体_GB2312" w:hint="eastAsia"/>
          <w:b/>
          <w:bCs/>
          <w:sz w:val="28"/>
          <w:szCs w:val="28"/>
        </w:rPr>
      </w:pPr>
    </w:p>
    <w:p w:rsidR="00000000" w:rsidRDefault="009A1129">
      <w:pPr>
        <w:spacing w:line="480" w:lineRule="auto"/>
        <w:rPr>
          <w:rFonts w:ascii="楷体_GB2312" w:eastAsia="楷体_GB2312" w:hAnsi="楷体_GB2312" w:cs="楷体_GB2312"/>
          <w:b/>
          <w:bCs/>
          <w:sz w:val="28"/>
          <w:szCs w:val="28"/>
        </w:rPr>
      </w:pPr>
      <w:r>
        <w:rPr>
          <w:rFonts w:ascii="楷体_GB2312" w:eastAsia="楷体_GB2312" w:hAnsi="楷体_GB2312" w:cs="楷体_GB2312" w:hint="eastAsia"/>
          <w:b/>
          <w:sz w:val="32"/>
          <w:szCs w:val="32"/>
        </w:rPr>
        <w:t>（二）</w:t>
      </w:r>
      <w:r>
        <w:rPr>
          <w:rFonts w:ascii="楷体_GB2312" w:eastAsia="楷体_GB2312" w:hAnsi="楷体_GB2312" w:cs="楷体_GB2312" w:hint="eastAsia"/>
          <w:b/>
          <w:bCs/>
          <w:sz w:val="28"/>
          <w:szCs w:val="28"/>
        </w:rPr>
        <w:t>就业流向</w:t>
      </w:r>
    </w:p>
    <w:p w:rsidR="00000000" w:rsidRDefault="009A1129">
      <w:pPr>
        <w:spacing w:line="480" w:lineRule="auto"/>
        <w:ind w:firstLineChars="200" w:firstLine="560"/>
        <w:jc w:val="left"/>
        <w:rPr>
          <w:rFonts w:ascii="楷体_GB2312" w:eastAsia="楷体_GB2312" w:hAnsi="楷体_GB2312" w:cs="楷体_GB2312" w:hint="eastAsia"/>
          <w:color w:val="FF0000"/>
          <w:sz w:val="28"/>
          <w:szCs w:val="28"/>
        </w:rPr>
      </w:pPr>
      <w:r>
        <w:rPr>
          <w:rFonts w:ascii="楷体_GB2312" w:eastAsia="楷体_GB2312" w:hAnsi="楷体_GB2312" w:cs="楷体_GB2312" w:hint="eastAsia"/>
          <w:sz w:val="28"/>
          <w:szCs w:val="28"/>
        </w:rPr>
        <w:t>随着社会竞争日趋激烈，就业压力不断增大，在毕业生总数及</w:t>
      </w:r>
      <w:r>
        <w:rPr>
          <w:rFonts w:ascii="楷体_GB2312" w:eastAsia="楷体_GB2312" w:hAnsi="楷体_GB2312" w:cs="楷体_GB2312" w:hint="eastAsia"/>
          <w:sz w:val="28"/>
          <w:szCs w:val="28"/>
        </w:rPr>
        <w:t>总</w:t>
      </w:r>
      <w:r>
        <w:rPr>
          <w:rFonts w:ascii="楷体_GB2312" w:eastAsia="楷体_GB2312" w:hAnsi="楷体_GB2312" w:cs="楷体_GB2312" w:hint="eastAsia"/>
          <w:sz w:val="28"/>
          <w:szCs w:val="28"/>
        </w:rPr>
        <w:t>就业率总体保持相对稳定的情况下，我院毕业生</w:t>
      </w:r>
      <w:r>
        <w:rPr>
          <w:rFonts w:ascii="楷体_GB2312" w:eastAsia="楷体_GB2312" w:hAnsi="楷体_GB2312" w:cs="楷体_GB2312" w:hint="eastAsia"/>
          <w:sz w:val="28"/>
          <w:szCs w:val="28"/>
        </w:rPr>
        <w:t>今年的升学出国率有</w:t>
      </w:r>
      <w:r>
        <w:rPr>
          <w:rFonts w:ascii="楷体_GB2312" w:eastAsia="楷体_GB2312" w:hAnsi="楷体_GB2312" w:cs="楷体_GB2312" w:hint="eastAsia"/>
          <w:sz w:val="28"/>
          <w:szCs w:val="28"/>
        </w:rPr>
        <w:lastRenderedPageBreak/>
        <w:t>所增加（见</w:t>
      </w:r>
      <w:r>
        <w:rPr>
          <w:rFonts w:ascii="楷体_GB2312" w:eastAsia="楷体_GB2312" w:hAnsi="楷体_GB2312" w:cs="楷体_GB2312" w:hint="eastAsia"/>
          <w:sz w:val="28"/>
          <w:szCs w:val="28"/>
        </w:rPr>
        <w:t>图</w:t>
      </w:r>
      <w:r>
        <w:rPr>
          <w:rFonts w:ascii="楷体_GB2312" w:eastAsia="楷体_GB2312" w:hAnsi="楷体_GB2312" w:cs="楷体_GB2312" w:hint="eastAsia"/>
          <w:sz w:val="28"/>
          <w:szCs w:val="28"/>
        </w:rPr>
        <w:t>3-2</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w:t>
      </w:r>
    </w:p>
    <w:p w:rsidR="00000000" w:rsidRDefault="006666D3">
      <w:pPr>
        <w:spacing w:line="480" w:lineRule="auto"/>
        <w:jc w:val="center"/>
        <w:rPr>
          <w:rFonts w:ascii="楷体_GB2312" w:eastAsia="楷体_GB2312" w:hAnsi="楷体_GB2312" w:cs="楷体_GB2312" w:hint="eastAsia"/>
          <w:b/>
          <w:bCs/>
          <w:color w:val="000000"/>
          <w:sz w:val="32"/>
          <w:szCs w:val="32"/>
        </w:rPr>
      </w:pPr>
      <w:r>
        <w:rPr>
          <w:noProof/>
        </w:rPr>
        <w:drawing>
          <wp:inline distT="0" distB="0" distL="0" distR="0">
            <wp:extent cx="4572000" cy="2743200"/>
            <wp:effectExtent l="4445" t="4445" r="14605" b="14605"/>
            <wp:docPr id="19" name="图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00000" w:rsidRDefault="009A1129">
      <w:pPr>
        <w:spacing w:line="480" w:lineRule="auto"/>
        <w:jc w:val="center"/>
        <w:rPr>
          <w:rFonts w:ascii="楷体_GB2312" w:eastAsia="楷体_GB2312" w:hAnsi="楷体_GB2312" w:cs="楷体_GB2312" w:hint="eastAsia"/>
          <w:b/>
          <w:bCs/>
          <w:sz w:val="28"/>
          <w:szCs w:val="28"/>
        </w:rPr>
      </w:pP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 xml:space="preserve">3-2  </w:t>
      </w:r>
      <w:r>
        <w:rPr>
          <w:rFonts w:ascii="楷体_GB2312" w:eastAsia="楷体_GB2312" w:hAnsi="楷体_GB2312" w:cs="楷体_GB2312" w:hint="eastAsia"/>
          <w:b/>
          <w:bCs/>
          <w:sz w:val="28"/>
          <w:szCs w:val="28"/>
        </w:rPr>
        <w:t>近三年</w:t>
      </w:r>
      <w:r>
        <w:rPr>
          <w:rFonts w:ascii="楷体_GB2312" w:eastAsia="楷体_GB2312" w:hAnsi="楷体_GB2312" w:cs="楷体_GB2312" w:hint="eastAsia"/>
          <w:b/>
          <w:bCs/>
          <w:sz w:val="28"/>
          <w:szCs w:val="28"/>
        </w:rPr>
        <w:t>毕业生就业流向</w:t>
      </w:r>
    </w:p>
    <w:p w:rsidR="00000000" w:rsidRDefault="009A1129">
      <w:pPr>
        <w:spacing w:line="480" w:lineRule="auto"/>
        <w:jc w:val="center"/>
        <w:rPr>
          <w:rFonts w:ascii="楷体_GB2312" w:eastAsia="楷体_GB2312" w:hAnsi="楷体_GB2312" w:cs="楷体_GB2312" w:hint="eastAsia"/>
          <w:b/>
          <w:bCs/>
          <w:sz w:val="28"/>
          <w:szCs w:val="28"/>
        </w:rPr>
      </w:pPr>
    </w:p>
    <w:p w:rsidR="00000000" w:rsidRDefault="009A1129">
      <w:pPr>
        <w:spacing w:line="480" w:lineRule="auto"/>
        <w:rPr>
          <w:rFonts w:ascii="楷体_GB2312" w:eastAsia="楷体_GB2312" w:hAnsi="楷体_GB2312" w:cs="楷体_GB2312" w:hint="eastAsia"/>
          <w:b/>
          <w:sz w:val="32"/>
          <w:szCs w:val="32"/>
        </w:rPr>
      </w:pPr>
      <w:r>
        <w:rPr>
          <w:rFonts w:ascii="楷体_GB2312" w:eastAsia="楷体_GB2312" w:hAnsi="楷体_GB2312" w:cs="楷体_GB2312" w:hint="eastAsia"/>
          <w:b/>
          <w:sz w:val="32"/>
          <w:szCs w:val="32"/>
        </w:rPr>
        <w:t>（三）就业适配性</w:t>
      </w:r>
    </w:p>
    <w:p w:rsidR="00000000" w:rsidRDefault="009A1129">
      <w:pPr>
        <w:pStyle w:val="aa"/>
        <w:ind w:firstLineChars="200" w:firstLine="560"/>
        <w:rPr>
          <w:rFonts w:ascii="楷体_GB2312" w:eastAsia="楷体_GB2312" w:hAnsi="楷体_GB2312" w:cs="楷体_GB2312" w:hint="eastAsia"/>
          <w:sz w:val="28"/>
          <w:szCs w:val="28"/>
        </w:rPr>
      </w:pPr>
      <w:r>
        <w:rPr>
          <w:rFonts w:ascii="楷体_GB2312" w:eastAsia="楷体_GB2312" w:hAnsi="楷体_GB2312" w:cs="楷体_GB2312" w:hint="eastAsia"/>
          <w:sz w:val="28"/>
          <w:szCs w:val="28"/>
        </w:rPr>
        <w:t>主要考察学生综合素质与就业岗位的匹配程</w:t>
      </w:r>
      <w:r>
        <w:rPr>
          <w:rFonts w:ascii="楷体_GB2312" w:eastAsia="楷体_GB2312" w:hAnsi="楷体_GB2312" w:cs="楷体_GB2312" w:hint="eastAsia"/>
          <w:sz w:val="28"/>
          <w:szCs w:val="28"/>
        </w:rPr>
        <w:t>度</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是反映毕业生就业质量的重要指标，主要包括：毕业生工作与专业相关度、毕业生目前工作与职业期待、毕业生对工作的满意度等方面。</w:t>
      </w:r>
      <w:r>
        <w:rPr>
          <w:rFonts w:ascii="楷体_GB2312" w:eastAsia="楷体_GB2312" w:hAnsi="楷体_GB2312" w:cs="楷体_GB2312" w:hint="eastAsia"/>
          <w:sz w:val="28"/>
          <w:szCs w:val="28"/>
        </w:rPr>
        <w:t>我院</w:t>
      </w:r>
      <w:r>
        <w:rPr>
          <w:rFonts w:ascii="楷体_GB2312" w:eastAsia="楷体_GB2312" w:hAnsi="楷体_GB2312" w:cs="楷体_GB2312" w:hint="eastAsia"/>
          <w:sz w:val="28"/>
          <w:szCs w:val="28"/>
        </w:rPr>
        <w:t>201</w:t>
      </w:r>
      <w:r>
        <w:rPr>
          <w:rFonts w:ascii="楷体_GB2312" w:eastAsia="楷体_GB2312" w:hAnsi="楷体_GB2312" w:cs="楷体_GB2312" w:hint="eastAsia"/>
          <w:sz w:val="28"/>
          <w:szCs w:val="28"/>
        </w:rPr>
        <w:t>7</w:t>
      </w:r>
      <w:r>
        <w:rPr>
          <w:rFonts w:ascii="楷体_GB2312" w:eastAsia="楷体_GB2312" w:hAnsi="楷体_GB2312" w:cs="楷体_GB2312" w:hint="eastAsia"/>
          <w:sz w:val="28"/>
          <w:szCs w:val="28"/>
        </w:rPr>
        <w:t>届毕业生</w:t>
      </w:r>
      <w:r>
        <w:rPr>
          <w:rFonts w:ascii="楷体_GB2312" w:eastAsia="楷体_GB2312" w:hAnsi="楷体_GB2312" w:cs="楷体_GB2312" w:hint="eastAsia"/>
          <w:sz w:val="28"/>
          <w:szCs w:val="28"/>
        </w:rPr>
        <w:t>的工作与专业相关度为</w:t>
      </w:r>
      <w:r>
        <w:rPr>
          <w:rFonts w:ascii="楷体_GB2312" w:eastAsia="楷体_GB2312" w:hAnsi="楷体_GB2312" w:cs="楷体_GB2312" w:hint="eastAsia"/>
          <w:sz w:val="28"/>
          <w:szCs w:val="28"/>
        </w:rPr>
        <w:t>76.84%</w:t>
      </w:r>
      <w:r>
        <w:rPr>
          <w:rFonts w:ascii="楷体_GB2312" w:eastAsia="楷体_GB2312" w:hAnsi="楷体_GB2312" w:cs="楷体_GB2312" w:hint="eastAsia"/>
          <w:sz w:val="28"/>
          <w:szCs w:val="28"/>
        </w:rPr>
        <w:t>。毕业生工作与专业相关度较高的学部依次为医学部（五）和医学部（四），分别达</w:t>
      </w:r>
      <w:r>
        <w:rPr>
          <w:rFonts w:ascii="楷体_GB2312" w:eastAsia="楷体_GB2312" w:hAnsi="楷体_GB2312" w:cs="楷体_GB2312" w:hint="eastAsia"/>
          <w:sz w:val="28"/>
          <w:szCs w:val="28"/>
        </w:rPr>
        <w:t>98.99%</w:t>
      </w:r>
      <w:r>
        <w:rPr>
          <w:rFonts w:ascii="楷体_GB2312" w:eastAsia="楷体_GB2312" w:hAnsi="楷体_GB2312" w:cs="楷体_GB2312" w:hint="eastAsia"/>
          <w:sz w:val="28"/>
          <w:szCs w:val="28"/>
        </w:rPr>
        <w:t>和</w:t>
      </w:r>
      <w:r>
        <w:rPr>
          <w:rFonts w:ascii="楷体_GB2312" w:eastAsia="楷体_GB2312" w:hAnsi="楷体_GB2312" w:cs="楷体_GB2312" w:hint="eastAsia"/>
          <w:sz w:val="28"/>
          <w:szCs w:val="28"/>
        </w:rPr>
        <w:t>94.9%</w:t>
      </w:r>
      <w:r>
        <w:rPr>
          <w:rFonts w:ascii="楷体_GB2312" w:eastAsia="楷体_GB2312" w:hAnsi="楷体_GB2312" w:cs="楷体_GB2312" w:hint="eastAsia"/>
          <w:sz w:val="28"/>
          <w:szCs w:val="28"/>
        </w:rPr>
        <w:t>；毕业生工作与专业相关度较高的专业依次为医学影像技术、临床医学、临床医学（全科医学）、护理学和医学检验技术，分别达</w:t>
      </w:r>
      <w:r>
        <w:rPr>
          <w:rFonts w:ascii="楷体_GB2312" w:eastAsia="楷体_GB2312" w:hAnsi="楷体_GB2312" w:cs="楷体_GB2312" w:hint="eastAsia"/>
          <w:sz w:val="28"/>
          <w:szCs w:val="28"/>
        </w:rPr>
        <w:t>100%</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99.13%</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98.46%</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97.27%</w:t>
      </w:r>
      <w:r>
        <w:rPr>
          <w:rFonts w:ascii="楷体_GB2312" w:eastAsia="楷体_GB2312" w:hAnsi="楷体_GB2312" w:cs="楷体_GB2312" w:hint="eastAsia"/>
          <w:sz w:val="28"/>
          <w:szCs w:val="28"/>
        </w:rPr>
        <w:t>和</w:t>
      </w:r>
      <w:r>
        <w:rPr>
          <w:rFonts w:ascii="楷体_GB2312" w:eastAsia="楷体_GB2312" w:hAnsi="楷体_GB2312" w:cs="楷体_GB2312" w:hint="eastAsia"/>
          <w:sz w:val="28"/>
          <w:szCs w:val="28"/>
        </w:rPr>
        <w:t>93.02%</w:t>
      </w:r>
      <w:r>
        <w:rPr>
          <w:rFonts w:ascii="楷体_GB2312" w:eastAsia="楷体_GB2312" w:hAnsi="楷体_GB2312" w:cs="楷体_GB2312" w:hint="eastAsia"/>
          <w:sz w:val="28"/>
          <w:szCs w:val="28"/>
        </w:rPr>
        <w:t>（见表</w:t>
      </w:r>
      <w:r>
        <w:rPr>
          <w:rFonts w:ascii="楷体_GB2312" w:eastAsia="楷体_GB2312" w:hAnsi="楷体_GB2312" w:cs="楷体_GB2312" w:hint="eastAsia"/>
          <w:sz w:val="28"/>
          <w:szCs w:val="28"/>
        </w:rPr>
        <w:t>3-1</w:t>
      </w:r>
      <w:r>
        <w:rPr>
          <w:rFonts w:ascii="楷体_GB2312" w:eastAsia="楷体_GB2312" w:hAnsi="楷体_GB2312" w:cs="楷体_GB2312" w:hint="eastAsia"/>
          <w:sz w:val="28"/>
          <w:szCs w:val="28"/>
        </w:rPr>
        <w:t>）。</w:t>
      </w:r>
    </w:p>
    <w:p w:rsidR="00000000" w:rsidRDefault="009A1129">
      <w:pPr>
        <w:spacing w:line="480" w:lineRule="auto"/>
        <w:ind w:firstLineChars="200" w:firstLine="560"/>
        <w:jc w:val="left"/>
        <w:rPr>
          <w:rFonts w:ascii="楷体_GB2312" w:eastAsia="楷体_GB2312" w:hAnsi="楷体_GB2312" w:cs="楷体_GB2312" w:hint="eastAsia"/>
          <w:sz w:val="28"/>
          <w:szCs w:val="28"/>
        </w:rPr>
      </w:pPr>
      <w:r>
        <w:rPr>
          <w:rFonts w:ascii="楷体_GB2312" w:eastAsia="楷体_GB2312" w:hAnsi="楷体_GB2312" w:cs="楷体_GB2312" w:hint="eastAsia"/>
          <w:sz w:val="28"/>
          <w:szCs w:val="28"/>
        </w:rPr>
        <w:t>我院</w:t>
      </w:r>
      <w:r>
        <w:rPr>
          <w:rFonts w:ascii="楷体_GB2312" w:eastAsia="楷体_GB2312" w:hAnsi="楷体_GB2312" w:cs="楷体_GB2312" w:hint="eastAsia"/>
          <w:sz w:val="28"/>
          <w:szCs w:val="28"/>
        </w:rPr>
        <w:t>2017</w:t>
      </w:r>
      <w:r>
        <w:rPr>
          <w:rFonts w:ascii="楷体_GB2312" w:eastAsia="楷体_GB2312" w:hAnsi="楷体_GB2312" w:cs="楷体_GB2312" w:hint="eastAsia"/>
          <w:sz w:val="28"/>
          <w:szCs w:val="28"/>
        </w:rPr>
        <w:t>届毕业生的工作满意度为</w:t>
      </w:r>
      <w:r>
        <w:rPr>
          <w:rFonts w:ascii="楷体_GB2312" w:eastAsia="楷体_GB2312" w:hAnsi="楷体_GB2312" w:cs="楷体_GB2312" w:hint="eastAsia"/>
          <w:sz w:val="28"/>
          <w:szCs w:val="28"/>
        </w:rPr>
        <w:t>83.4</w:t>
      </w:r>
      <w:r>
        <w:rPr>
          <w:rFonts w:ascii="楷体_GB2312" w:eastAsia="楷体_GB2312" w:hAnsi="楷体_GB2312" w:cs="楷体_GB2312" w:hint="eastAsia"/>
          <w:sz w:val="28"/>
          <w:szCs w:val="28"/>
        </w:rPr>
        <w:t>2%</w:t>
      </w:r>
      <w:r>
        <w:rPr>
          <w:rFonts w:ascii="楷体_GB2312" w:eastAsia="楷体_GB2312" w:hAnsi="楷体_GB2312" w:cs="楷体_GB2312" w:hint="eastAsia"/>
          <w:sz w:val="28"/>
          <w:szCs w:val="28"/>
        </w:rPr>
        <w:t>，而对工作不满意的最主要原因是收入低（</w:t>
      </w:r>
      <w:r>
        <w:rPr>
          <w:rFonts w:ascii="楷体_GB2312" w:eastAsia="楷体_GB2312" w:hAnsi="楷体_GB2312" w:cs="楷体_GB2312" w:hint="eastAsia"/>
          <w:sz w:val="28"/>
          <w:szCs w:val="28"/>
        </w:rPr>
        <w:t>71.65%</w:t>
      </w:r>
      <w:r>
        <w:rPr>
          <w:rFonts w:ascii="楷体_GB2312" w:eastAsia="楷体_GB2312" w:hAnsi="楷体_GB2312" w:cs="楷体_GB2312" w:hint="eastAsia"/>
          <w:sz w:val="28"/>
          <w:szCs w:val="28"/>
        </w:rPr>
        <w:t>）、个人发展空间小（</w:t>
      </w:r>
      <w:r>
        <w:rPr>
          <w:rFonts w:ascii="楷体_GB2312" w:eastAsia="楷体_GB2312" w:hAnsi="楷体_GB2312" w:cs="楷体_GB2312" w:hint="eastAsia"/>
          <w:sz w:val="28"/>
          <w:szCs w:val="28"/>
        </w:rPr>
        <w:t>58.25%</w:t>
      </w:r>
      <w:r>
        <w:rPr>
          <w:rFonts w:ascii="楷体_GB2312" w:eastAsia="楷体_GB2312" w:hAnsi="楷体_GB2312" w:cs="楷体_GB2312" w:hint="eastAsia"/>
          <w:sz w:val="28"/>
          <w:szCs w:val="28"/>
        </w:rPr>
        <w:t>）和单位发展前景不好（</w:t>
      </w:r>
      <w:r>
        <w:rPr>
          <w:rFonts w:ascii="楷体_GB2312" w:eastAsia="楷体_GB2312" w:hAnsi="楷体_GB2312" w:cs="楷体_GB2312" w:hint="eastAsia"/>
          <w:sz w:val="28"/>
          <w:szCs w:val="28"/>
        </w:rPr>
        <w:t>29.90%</w:t>
      </w:r>
      <w:r>
        <w:rPr>
          <w:rFonts w:ascii="楷体_GB2312" w:eastAsia="楷体_GB2312" w:hAnsi="楷体_GB2312" w:cs="楷体_GB2312" w:hint="eastAsia"/>
          <w:sz w:val="28"/>
          <w:szCs w:val="28"/>
        </w:rPr>
        <w:t>）等。</w:t>
      </w:r>
      <w:r>
        <w:rPr>
          <w:rFonts w:ascii="楷体_GB2312" w:eastAsia="楷体_GB2312" w:hAnsi="楷体_GB2312" w:cs="楷体_GB2312" w:hint="eastAsia"/>
          <w:sz w:val="28"/>
          <w:szCs w:val="28"/>
        </w:rPr>
        <w:t>毕业生</w:t>
      </w:r>
      <w:r>
        <w:rPr>
          <w:rFonts w:ascii="楷体_GB2312" w:eastAsia="楷体_GB2312" w:hAnsi="楷体_GB2312" w:cs="楷体_GB2312" w:hint="eastAsia"/>
          <w:sz w:val="28"/>
          <w:szCs w:val="28"/>
        </w:rPr>
        <w:t>的工作与职业期待吻合度为</w:t>
      </w:r>
      <w:r>
        <w:rPr>
          <w:rFonts w:ascii="楷体_GB2312" w:eastAsia="楷体_GB2312" w:hAnsi="楷体_GB2312" w:cs="楷体_GB2312" w:hint="eastAsia"/>
          <w:sz w:val="28"/>
          <w:szCs w:val="28"/>
        </w:rPr>
        <w:lastRenderedPageBreak/>
        <w:t>75.38%</w:t>
      </w:r>
      <w:r>
        <w:rPr>
          <w:rFonts w:ascii="楷体_GB2312" w:eastAsia="楷体_GB2312" w:hAnsi="楷体_GB2312" w:cs="楷体_GB2312" w:hint="eastAsia"/>
          <w:sz w:val="28"/>
          <w:szCs w:val="28"/>
        </w:rPr>
        <w:t>。毕业生认为目前工作与职业期待不符合的主要方面是收入（</w:t>
      </w:r>
      <w:r>
        <w:rPr>
          <w:rFonts w:ascii="楷体_GB2312" w:eastAsia="楷体_GB2312" w:hAnsi="楷体_GB2312" w:cs="楷体_GB2312" w:hint="eastAsia"/>
          <w:sz w:val="28"/>
          <w:szCs w:val="28"/>
        </w:rPr>
        <w:t>68.40%</w:t>
      </w:r>
      <w:r>
        <w:rPr>
          <w:rFonts w:ascii="楷体_GB2312" w:eastAsia="楷体_GB2312" w:hAnsi="楷体_GB2312" w:cs="楷体_GB2312" w:hint="eastAsia"/>
          <w:sz w:val="28"/>
          <w:szCs w:val="28"/>
        </w:rPr>
        <w:t>），其后依次是单位类型（单位规模</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性质）、个人兴趣爱好（均为</w:t>
      </w:r>
      <w:r>
        <w:rPr>
          <w:rFonts w:ascii="楷体_GB2312" w:eastAsia="楷体_GB2312" w:hAnsi="楷体_GB2312" w:cs="楷体_GB2312" w:hint="eastAsia"/>
          <w:sz w:val="28"/>
          <w:szCs w:val="28"/>
        </w:rPr>
        <w:t>32.99%</w:t>
      </w:r>
      <w:r>
        <w:rPr>
          <w:rFonts w:ascii="楷体_GB2312" w:eastAsia="楷体_GB2312" w:hAnsi="楷体_GB2312" w:cs="楷体_GB2312" w:hint="eastAsia"/>
          <w:sz w:val="28"/>
          <w:szCs w:val="28"/>
        </w:rPr>
        <w:t>）等。毕业生职业期待吻合度较高的学部是经济与管理学部（</w:t>
      </w:r>
      <w:r>
        <w:rPr>
          <w:rFonts w:ascii="楷体_GB2312" w:eastAsia="楷体_GB2312" w:hAnsi="楷体_GB2312" w:cs="楷体_GB2312" w:hint="eastAsia"/>
          <w:sz w:val="28"/>
          <w:szCs w:val="28"/>
        </w:rPr>
        <w:t>82.61%</w:t>
      </w:r>
      <w:r>
        <w:rPr>
          <w:rFonts w:ascii="楷体_GB2312" w:eastAsia="楷体_GB2312" w:hAnsi="楷体_GB2312" w:cs="楷体_GB2312" w:hint="eastAsia"/>
          <w:sz w:val="28"/>
          <w:szCs w:val="28"/>
        </w:rPr>
        <w:t>），特别是国际经济与贸易专业，职业期待吻合度达到</w:t>
      </w:r>
      <w:r>
        <w:rPr>
          <w:rFonts w:ascii="楷体_GB2312" w:eastAsia="楷体_GB2312" w:hAnsi="楷体_GB2312" w:cs="楷体_GB2312" w:hint="eastAsia"/>
          <w:sz w:val="28"/>
          <w:szCs w:val="28"/>
        </w:rPr>
        <w:t>88.46%</w:t>
      </w:r>
      <w:r>
        <w:rPr>
          <w:rFonts w:ascii="楷体_GB2312" w:eastAsia="楷体_GB2312" w:hAnsi="楷体_GB2312" w:cs="楷体_GB2312" w:hint="eastAsia"/>
          <w:sz w:val="28"/>
          <w:szCs w:val="28"/>
        </w:rPr>
        <w:t>（见表</w:t>
      </w:r>
      <w:r>
        <w:rPr>
          <w:rFonts w:ascii="楷体_GB2312" w:eastAsia="楷体_GB2312" w:hAnsi="楷体_GB2312" w:cs="楷体_GB2312" w:hint="eastAsia"/>
          <w:sz w:val="28"/>
          <w:szCs w:val="28"/>
        </w:rPr>
        <w:t>3-2</w:t>
      </w:r>
      <w:r>
        <w:rPr>
          <w:rFonts w:ascii="楷体_GB2312" w:eastAsia="楷体_GB2312" w:hAnsi="楷体_GB2312" w:cs="楷体_GB2312" w:hint="eastAsia"/>
          <w:sz w:val="28"/>
          <w:szCs w:val="28"/>
        </w:rPr>
        <w:t>）。</w:t>
      </w:r>
    </w:p>
    <w:p w:rsidR="00000000" w:rsidRDefault="009A1129">
      <w:pPr>
        <w:jc w:val="center"/>
        <w:rPr>
          <w:rFonts w:ascii="楷体_GB2312" w:eastAsia="楷体_GB2312" w:hAnsi="楷体_GB2312" w:cs="楷体_GB2312" w:hint="eastAsia"/>
          <w:sz w:val="28"/>
          <w:szCs w:val="28"/>
        </w:rPr>
      </w:pPr>
      <w:bookmarkStart w:id="0" w:name="分院系（专业）2016届本科生的职业期待吻合度"/>
      <w:bookmarkStart w:id="1" w:name="_Toc468717550"/>
      <w:bookmarkEnd w:id="0"/>
      <w:r>
        <w:rPr>
          <w:rFonts w:ascii="楷体_GB2312" w:eastAsia="楷体_GB2312" w:hAnsi="楷体_GB2312" w:cs="楷体_GB2312" w:hint="eastAsia"/>
          <w:sz w:val="28"/>
          <w:szCs w:val="28"/>
        </w:rPr>
        <w:t>表</w:t>
      </w:r>
      <w:r>
        <w:rPr>
          <w:rFonts w:ascii="楷体_GB2312" w:eastAsia="楷体_GB2312" w:hAnsi="楷体_GB2312" w:cs="楷体_GB2312" w:hint="eastAsia"/>
          <w:sz w:val="28"/>
          <w:szCs w:val="28"/>
        </w:rPr>
        <w:t xml:space="preserve"> 3-1  </w:t>
      </w:r>
      <w:r>
        <w:rPr>
          <w:rFonts w:ascii="楷体_GB2312" w:eastAsia="楷体_GB2312" w:hAnsi="楷体_GB2312" w:cs="楷体_GB2312" w:hint="eastAsia"/>
          <w:sz w:val="28"/>
          <w:szCs w:val="28"/>
        </w:rPr>
        <w:t>201</w:t>
      </w:r>
      <w:r>
        <w:rPr>
          <w:rFonts w:ascii="楷体_GB2312" w:eastAsia="楷体_GB2312" w:hAnsi="楷体_GB2312" w:cs="楷体_GB2312" w:hint="eastAsia"/>
          <w:sz w:val="28"/>
          <w:szCs w:val="28"/>
        </w:rPr>
        <w:t>7</w:t>
      </w:r>
      <w:r>
        <w:rPr>
          <w:rFonts w:ascii="楷体_GB2312" w:eastAsia="楷体_GB2312" w:hAnsi="楷体_GB2312" w:cs="楷体_GB2312" w:hint="eastAsia"/>
          <w:sz w:val="28"/>
          <w:szCs w:val="28"/>
        </w:rPr>
        <w:t>届毕业生</w:t>
      </w:r>
      <w:r>
        <w:rPr>
          <w:rFonts w:ascii="楷体_GB2312" w:eastAsia="楷体_GB2312" w:hAnsi="楷体_GB2312" w:cs="楷体_GB2312" w:hint="eastAsia"/>
          <w:sz w:val="28"/>
          <w:szCs w:val="28"/>
        </w:rPr>
        <w:t>工作与专业相关</w:t>
      </w:r>
      <w:r>
        <w:rPr>
          <w:rFonts w:ascii="楷体_GB2312" w:eastAsia="楷体_GB2312" w:hAnsi="楷体_GB2312" w:cs="楷体_GB2312" w:hint="eastAsia"/>
          <w:sz w:val="28"/>
          <w:szCs w:val="28"/>
        </w:rPr>
        <w:t>度</w:t>
      </w:r>
      <w:bookmarkEnd w:id="1"/>
    </w:p>
    <w:p w:rsidR="00000000" w:rsidRDefault="009A1129">
      <w:pPr>
        <w:jc w:val="right"/>
        <w:rPr>
          <w:rFonts w:ascii="楷体_GB2312" w:eastAsia="楷体_GB2312" w:hAnsi="楷体_GB2312" w:cs="楷体_GB2312" w:hint="eastAsia"/>
          <w:sz w:val="28"/>
          <w:szCs w:val="28"/>
        </w:rPr>
      </w:pPr>
      <w:r>
        <w:rPr>
          <w:b/>
          <w:sz w:val="18"/>
          <w:szCs w:val="18"/>
        </w:rPr>
        <w:t>单位</w:t>
      </w:r>
      <w:r>
        <w:rPr>
          <w:rFonts w:hint="eastAsia"/>
          <w:b/>
          <w:sz w:val="18"/>
          <w:szCs w:val="18"/>
        </w:rPr>
        <w:t>：</w:t>
      </w:r>
      <w:r>
        <w:rPr>
          <w:rFonts w:ascii="Calibri" w:hAnsi="Calibri" w:cs="宋体"/>
          <w:b/>
          <w:bCs/>
          <w:color w:val="000000"/>
          <w:kern w:val="0"/>
          <w:sz w:val="18"/>
          <w:szCs w:val="18"/>
        </w:rPr>
        <w:t>%</w:t>
      </w:r>
    </w:p>
    <w:tbl>
      <w:tblPr>
        <w:tblpPr w:leftFromText="180" w:rightFromText="180" w:vertAnchor="text" w:horzAnchor="page" w:tblpX="2177" w:tblpY="421"/>
        <w:tblOverlap w:val="never"/>
        <w:tblW w:w="0" w:type="auto"/>
        <w:tblInd w:w="0" w:type="dxa"/>
        <w:tblLayout w:type="fixed"/>
        <w:tblCellMar>
          <w:top w:w="15" w:type="dxa"/>
          <w:left w:w="15" w:type="dxa"/>
          <w:bottom w:w="15" w:type="dxa"/>
          <w:right w:w="15" w:type="dxa"/>
        </w:tblCellMar>
        <w:tblLook w:val="0000"/>
      </w:tblPr>
      <w:tblGrid>
        <w:gridCol w:w="1787"/>
        <w:gridCol w:w="2059"/>
        <w:gridCol w:w="1757"/>
        <w:gridCol w:w="2024"/>
      </w:tblGrid>
      <w:tr w:rsidR="00000000">
        <w:trPr>
          <w:trHeight w:val="285"/>
        </w:trPr>
        <w:tc>
          <w:tcPr>
            <w:tcW w:w="1787" w:type="dxa"/>
            <w:tcBorders>
              <w:top w:val="single" w:sz="12" w:space="0" w:color="FFFFFF"/>
              <w:left w:val="single" w:sz="12" w:space="0" w:color="FFFFFF"/>
              <w:right w:val="single" w:sz="12" w:space="0" w:color="FFFFFF"/>
            </w:tcBorders>
            <w:shd w:val="clear" w:color="auto" w:fill="8DB3E2"/>
            <w:vAlign w:val="center"/>
          </w:tcPr>
          <w:p w:rsidR="00000000" w:rsidRDefault="009A1129">
            <w:pPr>
              <w:widowControl/>
              <w:jc w:val="center"/>
              <w:textAlignment w:val="center"/>
              <w:rPr>
                <w:rFonts w:ascii="Calibri" w:hAnsi="Calibri" w:cs="Calibri"/>
                <w:b/>
                <w:color w:val="000000"/>
                <w:sz w:val="20"/>
                <w:szCs w:val="20"/>
              </w:rPr>
            </w:pPr>
            <w:r>
              <w:rPr>
                <w:rFonts w:ascii="Calibri" w:hAnsi="Calibri" w:cs="Calibri"/>
                <w:b/>
                <w:color w:val="000000"/>
                <w:kern w:val="0"/>
                <w:sz w:val="20"/>
                <w:szCs w:val="20"/>
                <w:lang/>
              </w:rPr>
              <w:t>院系</w:t>
            </w:r>
            <w:r>
              <w:rPr>
                <w:rFonts w:ascii="Calibri" w:hAnsi="Calibri" w:cs="Calibri"/>
                <w:b/>
                <w:color w:val="000000"/>
                <w:kern w:val="0"/>
                <w:sz w:val="20"/>
                <w:szCs w:val="20"/>
                <w:lang/>
              </w:rPr>
              <w:t>名称</w:t>
            </w:r>
          </w:p>
        </w:tc>
        <w:tc>
          <w:tcPr>
            <w:tcW w:w="2059" w:type="dxa"/>
            <w:tcBorders>
              <w:top w:val="single" w:sz="12" w:space="0" w:color="FFFFFF"/>
              <w:left w:val="single" w:sz="12" w:space="0" w:color="FFFFFF"/>
              <w:right w:val="single" w:sz="12" w:space="0" w:color="FFFFFF"/>
            </w:tcBorders>
            <w:shd w:val="clear" w:color="auto" w:fill="8DB3E2"/>
            <w:vAlign w:val="center"/>
          </w:tcPr>
          <w:p w:rsidR="00000000" w:rsidRDefault="009A1129">
            <w:pPr>
              <w:widowControl/>
              <w:jc w:val="center"/>
              <w:textAlignment w:val="center"/>
              <w:rPr>
                <w:rFonts w:ascii="Calibri" w:hAnsi="Calibri" w:cs="Calibri"/>
                <w:b/>
                <w:color w:val="000000"/>
                <w:kern w:val="0"/>
                <w:sz w:val="20"/>
                <w:szCs w:val="20"/>
                <w:lang/>
              </w:rPr>
            </w:pPr>
            <w:r>
              <w:rPr>
                <w:rFonts w:ascii="Calibri" w:hAnsi="Calibri" w:cs="Calibri"/>
                <w:b/>
                <w:color w:val="000000"/>
                <w:kern w:val="0"/>
                <w:sz w:val="20"/>
                <w:szCs w:val="20"/>
                <w:lang/>
              </w:rPr>
              <w:t>各院系工作与专业</w:t>
            </w:r>
          </w:p>
          <w:p w:rsidR="00000000" w:rsidRDefault="009A1129">
            <w:pPr>
              <w:widowControl/>
              <w:jc w:val="center"/>
              <w:textAlignment w:val="center"/>
              <w:rPr>
                <w:rFonts w:ascii="Calibri" w:hAnsi="Calibri" w:cs="Calibri"/>
                <w:b/>
                <w:color w:val="000000"/>
                <w:sz w:val="20"/>
                <w:szCs w:val="20"/>
              </w:rPr>
            </w:pPr>
            <w:r>
              <w:rPr>
                <w:rFonts w:ascii="Calibri" w:hAnsi="Calibri" w:cs="Calibri"/>
                <w:b/>
                <w:color w:val="000000"/>
                <w:kern w:val="0"/>
                <w:sz w:val="20"/>
                <w:szCs w:val="20"/>
                <w:lang/>
              </w:rPr>
              <w:t>相关度</w:t>
            </w:r>
          </w:p>
        </w:tc>
        <w:tc>
          <w:tcPr>
            <w:tcW w:w="1757" w:type="dxa"/>
            <w:tcBorders>
              <w:top w:val="single" w:sz="12" w:space="0" w:color="FFFFFF"/>
              <w:left w:val="single" w:sz="12" w:space="0" w:color="FFFFFF"/>
              <w:right w:val="single" w:sz="12" w:space="0" w:color="FFFFFF"/>
            </w:tcBorders>
            <w:shd w:val="clear" w:color="auto" w:fill="8DB3E2"/>
            <w:vAlign w:val="center"/>
          </w:tcPr>
          <w:p w:rsidR="00000000" w:rsidRDefault="009A1129">
            <w:pPr>
              <w:widowControl/>
              <w:jc w:val="center"/>
              <w:textAlignment w:val="center"/>
              <w:rPr>
                <w:rFonts w:ascii="Calibri" w:hAnsi="Calibri" w:cs="Calibri"/>
                <w:b/>
                <w:color w:val="000000"/>
                <w:sz w:val="20"/>
                <w:szCs w:val="20"/>
              </w:rPr>
            </w:pPr>
            <w:r>
              <w:rPr>
                <w:rFonts w:ascii="Calibri" w:hAnsi="Calibri" w:cs="Calibri"/>
                <w:b/>
                <w:color w:val="000000"/>
                <w:kern w:val="0"/>
                <w:sz w:val="20"/>
                <w:szCs w:val="20"/>
                <w:lang/>
              </w:rPr>
              <w:t>专业名称</w:t>
            </w:r>
          </w:p>
        </w:tc>
        <w:tc>
          <w:tcPr>
            <w:tcW w:w="2024" w:type="dxa"/>
            <w:tcBorders>
              <w:top w:val="single" w:sz="12" w:space="0" w:color="FFFFFF"/>
              <w:left w:val="single" w:sz="12" w:space="0" w:color="FFFFFF"/>
              <w:right w:val="single" w:sz="12" w:space="0" w:color="FFFFFF"/>
            </w:tcBorders>
            <w:shd w:val="clear" w:color="auto" w:fill="8DB3E2"/>
            <w:vAlign w:val="center"/>
          </w:tcPr>
          <w:p w:rsidR="00000000" w:rsidRDefault="009A1129">
            <w:pPr>
              <w:widowControl/>
              <w:jc w:val="center"/>
              <w:textAlignment w:val="center"/>
              <w:rPr>
                <w:rFonts w:ascii="Calibri" w:hAnsi="Calibri" w:cs="Calibri"/>
                <w:b/>
                <w:color w:val="000000"/>
                <w:kern w:val="0"/>
                <w:sz w:val="20"/>
                <w:szCs w:val="20"/>
                <w:lang/>
              </w:rPr>
            </w:pPr>
            <w:r>
              <w:rPr>
                <w:rFonts w:ascii="Calibri" w:hAnsi="Calibri" w:cs="Calibri"/>
                <w:b/>
                <w:color w:val="000000"/>
                <w:kern w:val="0"/>
                <w:sz w:val="20"/>
                <w:szCs w:val="20"/>
                <w:lang/>
              </w:rPr>
              <w:t>各专业工作与专业</w:t>
            </w:r>
          </w:p>
          <w:p w:rsidR="00000000" w:rsidRDefault="009A1129">
            <w:pPr>
              <w:widowControl/>
              <w:jc w:val="center"/>
              <w:textAlignment w:val="center"/>
              <w:rPr>
                <w:rFonts w:ascii="Calibri" w:hAnsi="Calibri" w:cs="Calibri"/>
                <w:b/>
                <w:color w:val="000000"/>
                <w:sz w:val="20"/>
                <w:szCs w:val="20"/>
              </w:rPr>
            </w:pPr>
            <w:r>
              <w:rPr>
                <w:rFonts w:ascii="Calibri" w:hAnsi="Calibri" w:cs="Calibri"/>
                <w:b/>
                <w:color w:val="000000"/>
                <w:kern w:val="0"/>
                <w:sz w:val="20"/>
                <w:szCs w:val="20"/>
                <w:lang/>
              </w:rPr>
              <w:t>相关度</w:t>
            </w:r>
          </w:p>
        </w:tc>
      </w:tr>
      <w:tr w:rsidR="00000000">
        <w:trPr>
          <w:trHeight w:val="285"/>
        </w:trPr>
        <w:tc>
          <w:tcPr>
            <w:tcW w:w="1787" w:type="dxa"/>
            <w:vMerge w:val="restart"/>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widowControl/>
              <w:jc w:val="left"/>
              <w:textAlignment w:val="center"/>
              <w:rPr>
                <w:rFonts w:ascii="Calibri" w:hAnsi="Calibri" w:cs="Calibri"/>
                <w:color w:val="000000"/>
                <w:sz w:val="20"/>
                <w:szCs w:val="20"/>
              </w:rPr>
            </w:pPr>
            <w:r>
              <w:rPr>
                <w:rFonts w:ascii="Calibri" w:hAnsi="Calibri" w:cs="Calibri"/>
                <w:color w:val="000000"/>
                <w:kern w:val="0"/>
                <w:sz w:val="20"/>
                <w:szCs w:val="20"/>
                <w:lang/>
              </w:rPr>
              <w:t>医学部（五）</w:t>
            </w:r>
          </w:p>
        </w:tc>
        <w:tc>
          <w:tcPr>
            <w:tcW w:w="2059" w:type="dxa"/>
            <w:vMerge w:val="restart"/>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widowControl/>
              <w:jc w:val="center"/>
              <w:textAlignment w:val="center"/>
              <w:rPr>
                <w:rFonts w:ascii="Calibri" w:hAnsi="Calibri" w:cs="Calibri"/>
                <w:color w:val="000000"/>
                <w:sz w:val="20"/>
                <w:szCs w:val="20"/>
              </w:rPr>
            </w:pPr>
            <w:r>
              <w:rPr>
                <w:rFonts w:ascii="Calibri" w:hAnsi="Calibri" w:cs="Calibri"/>
                <w:color w:val="000000"/>
                <w:kern w:val="0"/>
                <w:sz w:val="20"/>
                <w:szCs w:val="20"/>
                <w:lang/>
              </w:rPr>
              <w:t>98.99</w:t>
            </w:r>
          </w:p>
        </w:tc>
        <w:tc>
          <w:tcPr>
            <w:tcW w:w="1757" w:type="dxa"/>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widowControl/>
              <w:jc w:val="left"/>
              <w:textAlignment w:val="center"/>
              <w:rPr>
                <w:rFonts w:ascii="Calibri" w:hAnsi="Calibri" w:cs="Calibri"/>
                <w:color w:val="000000"/>
                <w:sz w:val="20"/>
                <w:szCs w:val="20"/>
              </w:rPr>
            </w:pPr>
            <w:r>
              <w:rPr>
                <w:rFonts w:ascii="Calibri" w:hAnsi="Calibri" w:cs="Calibri"/>
                <w:color w:val="000000"/>
                <w:kern w:val="0"/>
                <w:sz w:val="20"/>
                <w:szCs w:val="20"/>
                <w:lang/>
              </w:rPr>
              <w:t>临床医学</w:t>
            </w:r>
          </w:p>
        </w:tc>
        <w:tc>
          <w:tcPr>
            <w:tcW w:w="2024" w:type="dxa"/>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widowControl/>
              <w:jc w:val="center"/>
              <w:textAlignment w:val="center"/>
              <w:rPr>
                <w:rFonts w:ascii="Calibri" w:hAnsi="Calibri" w:cs="Calibri"/>
                <w:color w:val="000000"/>
                <w:sz w:val="20"/>
                <w:szCs w:val="20"/>
              </w:rPr>
            </w:pPr>
            <w:r>
              <w:rPr>
                <w:rFonts w:ascii="Calibri" w:hAnsi="Calibri" w:cs="Calibri"/>
                <w:color w:val="000000"/>
                <w:kern w:val="0"/>
                <w:sz w:val="20"/>
                <w:szCs w:val="20"/>
                <w:lang/>
              </w:rPr>
              <w:t>99.13</w:t>
            </w:r>
          </w:p>
        </w:tc>
      </w:tr>
      <w:tr w:rsidR="00000000">
        <w:trPr>
          <w:trHeight w:val="285"/>
        </w:trPr>
        <w:tc>
          <w:tcPr>
            <w:tcW w:w="1787" w:type="dxa"/>
            <w:vMerge/>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jc w:val="left"/>
              <w:rPr>
                <w:rFonts w:ascii="Calibri" w:hAnsi="Calibri" w:cs="Calibri"/>
                <w:color w:val="000000"/>
                <w:sz w:val="20"/>
                <w:szCs w:val="20"/>
              </w:rPr>
            </w:pPr>
          </w:p>
        </w:tc>
        <w:tc>
          <w:tcPr>
            <w:tcW w:w="2059" w:type="dxa"/>
            <w:vMerge/>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jc w:val="center"/>
              <w:rPr>
                <w:rFonts w:ascii="Calibri" w:hAnsi="Calibri" w:cs="Calibri"/>
                <w:color w:val="000000"/>
                <w:sz w:val="20"/>
                <w:szCs w:val="20"/>
              </w:rPr>
            </w:pPr>
          </w:p>
        </w:tc>
        <w:tc>
          <w:tcPr>
            <w:tcW w:w="1757" w:type="dxa"/>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widowControl/>
              <w:jc w:val="left"/>
              <w:textAlignment w:val="center"/>
              <w:rPr>
                <w:rFonts w:ascii="Calibri" w:hAnsi="Calibri" w:cs="Calibri"/>
                <w:color w:val="000000"/>
                <w:sz w:val="20"/>
                <w:szCs w:val="20"/>
              </w:rPr>
            </w:pPr>
            <w:r>
              <w:rPr>
                <w:rFonts w:ascii="Calibri" w:hAnsi="Calibri" w:cs="Calibri"/>
                <w:color w:val="000000"/>
                <w:kern w:val="0"/>
                <w:sz w:val="20"/>
                <w:szCs w:val="20"/>
                <w:lang/>
              </w:rPr>
              <w:t>临床医学（全科医学）</w:t>
            </w:r>
          </w:p>
        </w:tc>
        <w:tc>
          <w:tcPr>
            <w:tcW w:w="2024" w:type="dxa"/>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widowControl/>
              <w:jc w:val="center"/>
              <w:textAlignment w:val="center"/>
              <w:rPr>
                <w:rFonts w:ascii="Calibri" w:hAnsi="Calibri" w:cs="Calibri"/>
                <w:color w:val="000000"/>
                <w:sz w:val="20"/>
                <w:szCs w:val="20"/>
              </w:rPr>
            </w:pPr>
            <w:r>
              <w:rPr>
                <w:rFonts w:ascii="Calibri" w:hAnsi="Calibri" w:cs="Calibri"/>
                <w:color w:val="000000"/>
                <w:kern w:val="0"/>
                <w:sz w:val="20"/>
                <w:szCs w:val="20"/>
                <w:lang/>
              </w:rPr>
              <w:t>98.46</w:t>
            </w:r>
          </w:p>
        </w:tc>
      </w:tr>
      <w:tr w:rsidR="00000000">
        <w:trPr>
          <w:trHeight w:val="285"/>
        </w:trPr>
        <w:tc>
          <w:tcPr>
            <w:tcW w:w="1787" w:type="dxa"/>
            <w:vMerge w:val="restart"/>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widowControl/>
              <w:jc w:val="left"/>
              <w:textAlignment w:val="center"/>
              <w:rPr>
                <w:rFonts w:ascii="Calibri" w:hAnsi="Calibri" w:cs="Calibri"/>
                <w:color w:val="000000"/>
                <w:sz w:val="20"/>
                <w:szCs w:val="20"/>
              </w:rPr>
            </w:pPr>
            <w:r>
              <w:rPr>
                <w:rFonts w:ascii="Calibri" w:hAnsi="Calibri" w:cs="Calibri"/>
                <w:color w:val="000000"/>
                <w:kern w:val="0"/>
                <w:sz w:val="20"/>
                <w:szCs w:val="20"/>
                <w:lang/>
              </w:rPr>
              <w:t>医学部</w:t>
            </w:r>
            <w:r>
              <w:rPr>
                <w:rFonts w:ascii="Calibri" w:hAnsi="Calibri" w:cs="Calibri"/>
                <w:color w:val="000000"/>
                <w:kern w:val="0"/>
                <w:sz w:val="20"/>
                <w:szCs w:val="20"/>
                <w:lang/>
              </w:rPr>
              <w:t>(</w:t>
            </w:r>
            <w:r>
              <w:rPr>
                <w:rFonts w:ascii="Calibri" w:hAnsi="Calibri" w:cs="Calibri"/>
                <w:color w:val="000000"/>
                <w:kern w:val="0"/>
                <w:sz w:val="20"/>
                <w:szCs w:val="20"/>
                <w:lang/>
              </w:rPr>
              <w:t>四）</w:t>
            </w:r>
          </w:p>
        </w:tc>
        <w:tc>
          <w:tcPr>
            <w:tcW w:w="2059" w:type="dxa"/>
            <w:vMerge w:val="restart"/>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widowControl/>
              <w:jc w:val="center"/>
              <w:textAlignment w:val="center"/>
              <w:rPr>
                <w:rFonts w:ascii="Calibri" w:hAnsi="Calibri" w:cs="Calibri"/>
                <w:color w:val="000000"/>
                <w:sz w:val="20"/>
                <w:szCs w:val="20"/>
              </w:rPr>
            </w:pPr>
            <w:r>
              <w:rPr>
                <w:rFonts w:ascii="Calibri" w:hAnsi="Calibri" w:cs="Calibri"/>
                <w:color w:val="000000"/>
                <w:kern w:val="0"/>
                <w:sz w:val="20"/>
                <w:szCs w:val="20"/>
                <w:lang/>
              </w:rPr>
              <w:t>94.90</w:t>
            </w:r>
          </w:p>
        </w:tc>
        <w:tc>
          <w:tcPr>
            <w:tcW w:w="1757" w:type="dxa"/>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widowControl/>
              <w:jc w:val="left"/>
              <w:textAlignment w:val="center"/>
              <w:rPr>
                <w:rFonts w:ascii="Calibri" w:hAnsi="Calibri" w:cs="Calibri"/>
                <w:color w:val="000000"/>
                <w:sz w:val="20"/>
                <w:szCs w:val="20"/>
              </w:rPr>
            </w:pPr>
            <w:r>
              <w:rPr>
                <w:rFonts w:ascii="Calibri" w:hAnsi="Calibri" w:cs="Calibri"/>
                <w:color w:val="000000"/>
                <w:kern w:val="0"/>
                <w:sz w:val="20"/>
                <w:szCs w:val="20"/>
                <w:lang/>
              </w:rPr>
              <w:t>医学影像技术</w:t>
            </w:r>
          </w:p>
        </w:tc>
        <w:tc>
          <w:tcPr>
            <w:tcW w:w="2024" w:type="dxa"/>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widowControl/>
              <w:jc w:val="center"/>
              <w:textAlignment w:val="center"/>
              <w:rPr>
                <w:rFonts w:ascii="Calibri" w:hAnsi="Calibri" w:cs="Calibri"/>
                <w:color w:val="000000"/>
                <w:sz w:val="20"/>
                <w:szCs w:val="20"/>
              </w:rPr>
            </w:pPr>
            <w:r>
              <w:rPr>
                <w:rFonts w:ascii="Calibri" w:hAnsi="Calibri" w:cs="Calibri"/>
                <w:color w:val="000000"/>
                <w:kern w:val="0"/>
                <w:sz w:val="20"/>
                <w:szCs w:val="20"/>
                <w:lang/>
              </w:rPr>
              <w:t>100.00</w:t>
            </w:r>
          </w:p>
        </w:tc>
      </w:tr>
      <w:tr w:rsidR="00000000">
        <w:trPr>
          <w:trHeight w:val="285"/>
        </w:trPr>
        <w:tc>
          <w:tcPr>
            <w:tcW w:w="1787" w:type="dxa"/>
            <w:vMerge/>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jc w:val="left"/>
              <w:rPr>
                <w:rFonts w:ascii="Calibri" w:hAnsi="Calibri" w:cs="Calibri"/>
                <w:color w:val="000000"/>
                <w:sz w:val="20"/>
                <w:szCs w:val="20"/>
              </w:rPr>
            </w:pPr>
          </w:p>
        </w:tc>
        <w:tc>
          <w:tcPr>
            <w:tcW w:w="2059" w:type="dxa"/>
            <w:vMerge/>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jc w:val="center"/>
              <w:rPr>
                <w:rFonts w:ascii="Calibri" w:hAnsi="Calibri" w:cs="Calibri"/>
                <w:color w:val="000000"/>
                <w:sz w:val="20"/>
                <w:szCs w:val="20"/>
              </w:rPr>
            </w:pPr>
          </w:p>
        </w:tc>
        <w:tc>
          <w:tcPr>
            <w:tcW w:w="1757" w:type="dxa"/>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widowControl/>
              <w:jc w:val="left"/>
              <w:textAlignment w:val="center"/>
              <w:rPr>
                <w:rFonts w:ascii="Calibri" w:hAnsi="Calibri" w:cs="Calibri"/>
                <w:color w:val="000000"/>
                <w:sz w:val="20"/>
                <w:szCs w:val="20"/>
              </w:rPr>
            </w:pPr>
            <w:r>
              <w:rPr>
                <w:rFonts w:ascii="Calibri" w:hAnsi="Calibri" w:cs="Calibri"/>
                <w:color w:val="000000"/>
                <w:kern w:val="0"/>
                <w:sz w:val="20"/>
                <w:szCs w:val="20"/>
                <w:lang/>
              </w:rPr>
              <w:t>护理学</w:t>
            </w:r>
          </w:p>
        </w:tc>
        <w:tc>
          <w:tcPr>
            <w:tcW w:w="2024" w:type="dxa"/>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widowControl/>
              <w:jc w:val="center"/>
              <w:textAlignment w:val="center"/>
              <w:rPr>
                <w:rFonts w:ascii="Calibri" w:hAnsi="Calibri" w:cs="Calibri"/>
                <w:color w:val="000000"/>
                <w:sz w:val="20"/>
                <w:szCs w:val="20"/>
              </w:rPr>
            </w:pPr>
            <w:r>
              <w:rPr>
                <w:rFonts w:ascii="Calibri" w:hAnsi="Calibri" w:cs="Calibri"/>
                <w:color w:val="000000"/>
                <w:kern w:val="0"/>
                <w:sz w:val="20"/>
                <w:szCs w:val="20"/>
                <w:lang/>
              </w:rPr>
              <w:t>97.27</w:t>
            </w:r>
          </w:p>
        </w:tc>
      </w:tr>
      <w:tr w:rsidR="00000000">
        <w:trPr>
          <w:trHeight w:val="285"/>
        </w:trPr>
        <w:tc>
          <w:tcPr>
            <w:tcW w:w="1787" w:type="dxa"/>
            <w:vMerge/>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jc w:val="left"/>
              <w:rPr>
                <w:rFonts w:ascii="Calibri" w:hAnsi="Calibri" w:cs="Calibri"/>
                <w:color w:val="000000"/>
                <w:sz w:val="20"/>
                <w:szCs w:val="20"/>
              </w:rPr>
            </w:pPr>
          </w:p>
        </w:tc>
        <w:tc>
          <w:tcPr>
            <w:tcW w:w="2059" w:type="dxa"/>
            <w:vMerge/>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jc w:val="center"/>
              <w:rPr>
                <w:rFonts w:ascii="Calibri" w:hAnsi="Calibri" w:cs="Calibri"/>
                <w:color w:val="000000"/>
                <w:sz w:val="20"/>
                <w:szCs w:val="20"/>
              </w:rPr>
            </w:pPr>
          </w:p>
        </w:tc>
        <w:tc>
          <w:tcPr>
            <w:tcW w:w="1757" w:type="dxa"/>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widowControl/>
              <w:jc w:val="left"/>
              <w:textAlignment w:val="center"/>
              <w:rPr>
                <w:rFonts w:ascii="Calibri" w:hAnsi="Calibri" w:cs="Calibri"/>
                <w:color w:val="000000"/>
                <w:sz w:val="20"/>
                <w:szCs w:val="20"/>
              </w:rPr>
            </w:pPr>
            <w:r>
              <w:rPr>
                <w:rFonts w:ascii="Calibri" w:hAnsi="Calibri" w:cs="Calibri"/>
                <w:color w:val="000000"/>
                <w:kern w:val="0"/>
                <w:sz w:val="20"/>
                <w:szCs w:val="20"/>
                <w:lang/>
              </w:rPr>
              <w:t>医学检验技术</w:t>
            </w:r>
          </w:p>
        </w:tc>
        <w:tc>
          <w:tcPr>
            <w:tcW w:w="2024" w:type="dxa"/>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widowControl/>
              <w:jc w:val="center"/>
              <w:textAlignment w:val="center"/>
              <w:rPr>
                <w:rFonts w:ascii="Calibri" w:hAnsi="Calibri" w:cs="Calibri"/>
                <w:color w:val="000000"/>
                <w:sz w:val="20"/>
                <w:szCs w:val="20"/>
              </w:rPr>
            </w:pPr>
            <w:r>
              <w:rPr>
                <w:rFonts w:ascii="Calibri" w:hAnsi="Calibri" w:cs="Calibri"/>
                <w:color w:val="000000"/>
                <w:kern w:val="0"/>
                <w:sz w:val="20"/>
                <w:szCs w:val="20"/>
                <w:lang/>
              </w:rPr>
              <w:t>93.02</w:t>
            </w:r>
          </w:p>
        </w:tc>
      </w:tr>
      <w:tr w:rsidR="00000000">
        <w:trPr>
          <w:trHeight w:val="285"/>
        </w:trPr>
        <w:tc>
          <w:tcPr>
            <w:tcW w:w="1787" w:type="dxa"/>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widowControl/>
              <w:jc w:val="left"/>
              <w:textAlignment w:val="center"/>
              <w:rPr>
                <w:rFonts w:ascii="Calibri" w:hAnsi="Calibri" w:cs="Calibri"/>
                <w:color w:val="000000"/>
                <w:sz w:val="20"/>
                <w:szCs w:val="20"/>
              </w:rPr>
            </w:pPr>
            <w:r>
              <w:rPr>
                <w:rFonts w:ascii="Calibri" w:hAnsi="Calibri" w:cs="Calibri"/>
                <w:color w:val="000000"/>
                <w:kern w:val="0"/>
                <w:sz w:val="20"/>
                <w:szCs w:val="20"/>
                <w:lang/>
              </w:rPr>
              <w:t>信息科学部</w:t>
            </w:r>
          </w:p>
        </w:tc>
        <w:tc>
          <w:tcPr>
            <w:tcW w:w="2059" w:type="dxa"/>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widowControl/>
              <w:jc w:val="center"/>
              <w:textAlignment w:val="center"/>
              <w:rPr>
                <w:rFonts w:ascii="Calibri" w:hAnsi="Calibri" w:cs="Calibri"/>
                <w:color w:val="000000"/>
                <w:sz w:val="20"/>
                <w:szCs w:val="20"/>
              </w:rPr>
            </w:pPr>
            <w:r>
              <w:rPr>
                <w:rFonts w:ascii="Calibri" w:hAnsi="Calibri" w:cs="Calibri"/>
                <w:color w:val="000000"/>
                <w:kern w:val="0"/>
                <w:sz w:val="20"/>
                <w:szCs w:val="20"/>
                <w:lang/>
              </w:rPr>
              <w:t>67.16</w:t>
            </w:r>
          </w:p>
        </w:tc>
        <w:tc>
          <w:tcPr>
            <w:tcW w:w="1757" w:type="dxa"/>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widowControl/>
              <w:jc w:val="left"/>
              <w:textAlignment w:val="center"/>
              <w:rPr>
                <w:rFonts w:ascii="Calibri" w:hAnsi="Calibri" w:cs="Calibri"/>
                <w:color w:val="000000"/>
                <w:sz w:val="20"/>
                <w:szCs w:val="20"/>
              </w:rPr>
            </w:pPr>
            <w:r>
              <w:rPr>
                <w:rFonts w:ascii="Calibri" w:hAnsi="Calibri" w:cs="Calibri"/>
                <w:color w:val="000000"/>
                <w:kern w:val="0"/>
                <w:sz w:val="20"/>
                <w:szCs w:val="20"/>
                <w:lang/>
              </w:rPr>
              <w:t>自动化</w:t>
            </w:r>
          </w:p>
        </w:tc>
        <w:tc>
          <w:tcPr>
            <w:tcW w:w="2024" w:type="dxa"/>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widowControl/>
              <w:jc w:val="center"/>
              <w:textAlignment w:val="center"/>
              <w:rPr>
                <w:rFonts w:ascii="Calibri" w:hAnsi="Calibri" w:cs="Calibri"/>
                <w:color w:val="000000"/>
                <w:sz w:val="20"/>
                <w:szCs w:val="20"/>
              </w:rPr>
            </w:pPr>
            <w:r>
              <w:rPr>
                <w:rFonts w:ascii="Calibri" w:hAnsi="Calibri" w:cs="Calibri"/>
                <w:color w:val="000000"/>
                <w:kern w:val="0"/>
                <w:sz w:val="20"/>
                <w:szCs w:val="20"/>
                <w:lang/>
              </w:rPr>
              <w:t>55.56</w:t>
            </w:r>
          </w:p>
        </w:tc>
      </w:tr>
      <w:tr w:rsidR="00000000">
        <w:trPr>
          <w:trHeight w:val="285"/>
        </w:trPr>
        <w:tc>
          <w:tcPr>
            <w:tcW w:w="1787" w:type="dxa"/>
            <w:vMerge w:val="restart"/>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widowControl/>
              <w:jc w:val="left"/>
              <w:textAlignment w:val="center"/>
              <w:rPr>
                <w:rFonts w:ascii="Calibri" w:hAnsi="Calibri" w:cs="Calibri"/>
                <w:color w:val="000000"/>
                <w:sz w:val="20"/>
                <w:szCs w:val="20"/>
              </w:rPr>
            </w:pPr>
            <w:r>
              <w:rPr>
                <w:rFonts w:ascii="Calibri" w:hAnsi="Calibri" w:cs="Calibri"/>
                <w:color w:val="000000"/>
                <w:kern w:val="0"/>
                <w:sz w:val="20"/>
                <w:szCs w:val="20"/>
                <w:lang/>
              </w:rPr>
              <w:t>人文学部</w:t>
            </w:r>
          </w:p>
        </w:tc>
        <w:tc>
          <w:tcPr>
            <w:tcW w:w="2059" w:type="dxa"/>
            <w:vMerge w:val="restart"/>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widowControl/>
              <w:jc w:val="center"/>
              <w:textAlignment w:val="center"/>
              <w:rPr>
                <w:rFonts w:ascii="Calibri" w:hAnsi="Calibri" w:cs="Calibri"/>
                <w:color w:val="000000"/>
                <w:sz w:val="20"/>
                <w:szCs w:val="20"/>
              </w:rPr>
            </w:pPr>
            <w:r>
              <w:rPr>
                <w:rFonts w:ascii="Calibri" w:hAnsi="Calibri" w:cs="Calibri"/>
                <w:color w:val="000000"/>
                <w:kern w:val="0"/>
                <w:sz w:val="20"/>
                <w:szCs w:val="20"/>
                <w:lang/>
              </w:rPr>
              <w:t>63.89</w:t>
            </w:r>
          </w:p>
        </w:tc>
        <w:tc>
          <w:tcPr>
            <w:tcW w:w="1757" w:type="dxa"/>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widowControl/>
              <w:jc w:val="left"/>
              <w:textAlignment w:val="center"/>
              <w:rPr>
                <w:rFonts w:ascii="Calibri" w:hAnsi="Calibri" w:cs="Calibri"/>
                <w:color w:val="000000"/>
                <w:sz w:val="20"/>
                <w:szCs w:val="20"/>
              </w:rPr>
            </w:pPr>
            <w:r>
              <w:rPr>
                <w:rFonts w:ascii="Calibri" w:hAnsi="Calibri" w:cs="Calibri"/>
                <w:color w:val="000000"/>
                <w:kern w:val="0"/>
                <w:sz w:val="20"/>
                <w:szCs w:val="20"/>
                <w:lang/>
              </w:rPr>
              <w:t>英语</w:t>
            </w:r>
          </w:p>
        </w:tc>
        <w:tc>
          <w:tcPr>
            <w:tcW w:w="2024" w:type="dxa"/>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widowControl/>
              <w:jc w:val="center"/>
              <w:textAlignment w:val="center"/>
              <w:rPr>
                <w:rFonts w:ascii="Calibri" w:hAnsi="Calibri" w:cs="Calibri"/>
                <w:color w:val="000000"/>
                <w:sz w:val="20"/>
                <w:szCs w:val="20"/>
              </w:rPr>
            </w:pPr>
            <w:r>
              <w:rPr>
                <w:rFonts w:ascii="Calibri" w:hAnsi="Calibri" w:cs="Calibri"/>
                <w:color w:val="000000"/>
                <w:kern w:val="0"/>
                <w:sz w:val="20"/>
                <w:szCs w:val="20"/>
                <w:lang/>
              </w:rPr>
              <w:t>79.31</w:t>
            </w:r>
          </w:p>
        </w:tc>
      </w:tr>
      <w:tr w:rsidR="00000000">
        <w:trPr>
          <w:trHeight w:val="285"/>
        </w:trPr>
        <w:tc>
          <w:tcPr>
            <w:tcW w:w="1787" w:type="dxa"/>
            <w:vMerge/>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jc w:val="left"/>
              <w:rPr>
                <w:rFonts w:ascii="Calibri" w:hAnsi="Calibri" w:cs="Calibri"/>
                <w:color w:val="000000"/>
                <w:sz w:val="20"/>
                <w:szCs w:val="20"/>
              </w:rPr>
            </w:pPr>
          </w:p>
        </w:tc>
        <w:tc>
          <w:tcPr>
            <w:tcW w:w="2059" w:type="dxa"/>
            <w:vMerge/>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jc w:val="center"/>
              <w:rPr>
                <w:rFonts w:ascii="Calibri" w:hAnsi="Calibri" w:cs="Calibri"/>
                <w:color w:val="000000"/>
                <w:sz w:val="20"/>
                <w:szCs w:val="20"/>
              </w:rPr>
            </w:pPr>
          </w:p>
        </w:tc>
        <w:tc>
          <w:tcPr>
            <w:tcW w:w="1757" w:type="dxa"/>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widowControl/>
              <w:jc w:val="left"/>
              <w:textAlignment w:val="center"/>
              <w:rPr>
                <w:rFonts w:ascii="Calibri" w:hAnsi="Calibri" w:cs="Calibri"/>
                <w:color w:val="000000"/>
                <w:sz w:val="20"/>
                <w:szCs w:val="20"/>
              </w:rPr>
            </w:pPr>
            <w:r>
              <w:rPr>
                <w:rFonts w:ascii="Calibri" w:hAnsi="Calibri" w:cs="Calibri"/>
                <w:color w:val="000000"/>
                <w:kern w:val="0"/>
                <w:sz w:val="20"/>
                <w:szCs w:val="20"/>
                <w:lang/>
              </w:rPr>
              <w:t>动画</w:t>
            </w:r>
          </w:p>
        </w:tc>
        <w:tc>
          <w:tcPr>
            <w:tcW w:w="2024" w:type="dxa"/>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widowControl/>
              <w:jc w:val="center"/>
              <w:textAlignment w:val="center"/>
              <w:rPr>
                <w:rFonts w:ascii="Calibri" w:hAnsi="Calibri" w:cs="Calibri"/>
                <w:color w:val="000000"/>
                <w:sz w:val="20"/>
                <w:szCs w:val="20"/>
              </w:rPr>
            </w:pPr>
            <w:r>
              <w:rPr>
                <w:rFonts w:ascii="Calibri" w:hAnsi="Calibri" w:cs="Calibri"/>
                <w:color w:val="000000"/>
                <w:kern w:val="0"/>
                <w:sz w:val="20"/>
                <w:szCs w:val="20"/>
                <w:lang/>
              </w:rPr>
              <w:t>76.47</w:t>
            </w:r>
          </w:p>
        </w:tc>
      </w:tr>
      <w:tr w:rsidR="00000000">
        <w:trPr>
          <w:trHeight w:val="285"/>
        </w:trPr>
        <w:tc>
          <w:tcPr>
            <w:tcW w:w="1787" w:type="dxa"/>
            <w:vMerge/>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jc w:val="left"/>
              <w:rPr>
                <w:rFonts w:ascii="Calibri" w:hAnsi="Calibri" w:cs="Calibri"/>
                <w:color w:val="000000"/>
                <w:sz w:val="20"/>
                <w:szCs w:val="20"/>
              </w:rPr>
            </w:pPr>
          </w:p>
        </w:tc>
        <w:tc>
          <w:tcPr>
            <w:tcW w:w="2059" w:type="dxa"/>
            <w:vMerge/>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jc w:val="center"/>
              <w:rPr>
                <w:rFonts w:ascii="Calibri" w:hAnsi="Calibri" w:cs="Calibri"/>
                <w:color w:val="000000"/>
                <w:sz w:val="20"/>
                <w:szCs w:val="20"/>
              </w:rPr>
            </w:pPr>
          </w:p>
        </w:tc>
        <w:tc>
          <w:tcPr>
            <w:tcW w:w="1757" w:type="dxa"/>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widowControl/>
              <w:jc w:val="left"/>
              <w:textAlignment w:val="center"/>
              <w:rPr>
                <w:rFonts w:ascii="Calibri" w:hAnsi="Calibri" w:cs="Calibri"/>
                <w:color w:val="000000"/>
                <w:sz w:val="20"/>
                <w:szCs w:val="20"/>
              </w:rPr>
            </w:pPr>
            <w:r>
              <w:rPr>
                <w:rFonts w:ascii="Calibri" w:hAnsi="Calibri" w:cs="Calibri"/>
                <w:color w:val="000000"/>
                <w:kern w:val="0"/>
                <w:sz w:val="20"/>
                <w:szCs w:val="20"/>
                <w:lang/>
              </w:rPr>
              <w:t>视觉传达设计</w:t>
            </w:r>
          </w:p>
        </w:tc>
        <w:tc>
          <w:tcPr>
            <w:tcW w:w="2024" w:type="dxa"/>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widowControl/>
              <w:jc w:val="center"/>
              <w:textAlignment w:val="center"/>
              <w:rPr>
                <w:rFonts w:ascii="Calibri" w:hAnsi="Calibri" w:cs="Calibri"/>
                <w:color w:val="000000"/>
                <w:sz w:val="20"/>
                <w:szCs w:val="20"/>
              </w:rPr>
            </w:pPr>
            <w:r>
              <w:rPr>
                <w:rFonts w:ascii="Calibri" w:hAnsi="Calibri" w:cs="Calibri"/>
                <w:color w:val="000000"/>
                <w:kern w:val="0"/>
                <w:sz w:val="20"/>
                <w:szCs w:val="20"/>
                <w:lang/>
              </w:rPr>
              <w:t>73.68</w:t>
            </w:r>
          </w:p>
        </w:tc>
      </w:tr>
      <w:tr w:rsidR="00000000">
        <w:trPr>
          <w:trHeight w:val="285"/>
        </w:trPr>
        <w:tc>
          <w:tcPr>
            <w:tcW w:w="1787" w:type="dxa"/>
            <w:vMerge/>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jc w:val="left"/>
              <w:rPr>
                <w:rFonts w:ascii="Calibri" w:hAnsi="Calibri" w:cs="Calibri"/>
                <w:color w:val="000000"/>
                <w:sz w:val="20"/>
                <w:szCs w:val="20"/>
              </w:rPr>
            </w:pPr>
          </w:p>
        </w:tc>
        <w:tc>
          <w:tcPr>
            <w:tcW w:w="2059" w:type="dxa"/>
            <w:vMerge/>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jc w:val="center"/>
              <w:rPr>
                <w:rFonts w:ascii="Calibri" w:hAnsi="Calibri" w:cs="Calibri"/>
                <w:color w:val="000000"/>
                <w:sz w:val="20"/>
                <w:szCs w:val="20"/>
              </w:rPr>
            </w:pPr>
          </w:p>
        </w:tc>
        <w:tc>
          <w:tcPr>
            <w:tcW w:w="1757" w:type="dxa"/>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widowControl/>
              <w:jc w:val="left"/>
              <w:textAlignment w:val="center"/>
              <w:rPr>
                <w:rFonts w:ascii="Calibri" w:hAnsi="Calibri" w:cs="Calibri"/>
                <w:color w:val="000000"/>
                <w:sz w:val="20"/>
                <w:szCs w:val="20"/>
              </w:rPr>
            </w:pPr>
            <w:r>
              <w:rPr>
                <w:rFonts w:ascii="Calibri" w:hAnsi="Calibri" w:cs="Calibri"/>
                <w:color w:val="000000"/>
                <w:kern w:val="0"/>
                <w:sz w:val="20"/>
                <w:szCs w:val="20"/>
                <w:lang/>
              </w:rPr>
              <w:t>环境设计</w:t>
            </w:r>
          </w:p>
        </w:tc>
        <w:tc>
          <w:tcPr>
            <w:tcW w:w="2024" w:type="dxa"/>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widowControl/>
              <w:jc w:val="center"/>
              <w:textAlignment w:val="center"/>
              <w:rPr>
                <w:rFonts w:ascii="Calibri" w:hAnsi="Calibri" w:cs="Calibri"/>
                <w:color w:val="000000"/>
                <w:sz w:val="20"/>
                <w:szCs w:val="20"/>
              </w:rPr>
            </w:pPr>
            <w:r>
              <w:rPr>
                <w:rFonts w:ascii="Calibri" w:hAnsi="Calibri" w:cs="Calibri"/>
                <w:color w:val="000000"/>
                <w:kern w:val="0"/>
                <w:sz w:val="20"/>
                <w:szCs w:val="20"/>
                <w:lang/>
              </w:rPr>
              <w:t>62.50</w:t>
            </w:r>
          </w:p>
        </w:tc>
      </w:tr>
      <w:tr w:rsidR="00000000">
        <w:trPr>
          <w:trHeight w:val="285"/>
        </w:trPr>
        <w:tc>
          <w:tcPr>
            <w:tcW w:w="1787" w:type="dxa"/>
            <w:vMerge/>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jc w:val="left"/>
              <w:rPr>
                <w:rFonts w:ascii="Calibri" w:hAnsi="Calibri" w:cs="Calibri"/>
                <w:color w:val="000000"/>
                <w:sz w:val="20"/>
                <w:szCs w:val="20"/>
              </w:rPr>
            </w:pPr>
          </w:p>
        </w:tc>
        <w:tc>
          <w:tcPr>
            <w:tcW w:w="2059" w:type="dxa"/>
            <w:vMerge/>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jc w:val="center"/>
              <w:rPr>
                <w:rFonts w:ascii="Calibri" w:hAnsi="Calibri" w:cs="Calibri"/>
                <w:color w:val="000000"/>
                <w:sz w:val="20"/>
                <w:szCs w:val="20"/>
              </w:rPr>
            </w:pPr>
          </w:p>
        </w:tc>
        <w:tc>
          <w:tcPr>
            <w:tcW w:w="1757" w:type="dxa"/>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widowControl/>
              <w:jc w:val="left"/>
              <w:textAlignment w:val="center"/>
              <w:rPr>
                <w:rFonts w:ascii="Calibri" w:hAnsi="Calibri" w:cs="Calibri"/>
                <w:color w:val="000000"/>
                <w:sz w:val="20"/>
                <w:szCs w:val="20"/>
              </w:rPr>
            </w:pPr>
            <w:r>
              <w:rPr>
                <w:rFonts w:ascii="Calibri" w:hAnsi="Calibri" w:cs="Calibri"/>
                <w:color w:val="000000"/>
                <w:kern w:val="0"/>
                <w:sz w:val="20"/>
                <w:szCs w:val="20"/>
                <w:lang/>
              </w:rPr>
              <w:t>日语</w:t>
            </w:r>
          </w:p>
        </w:tc>
        <w:tc>
          <w:tcPr>
            <w:tcW w:w="2024" w:type="dxa"/>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widowControl/>
              <w:jc w:val="center"/>
              <w:textAlignment w:val="center"/>
              <w:rPr>
                <w:rFonts w:ascii="Calibri" w:hAnsi="Calibri" w:cs="Calibri"/>
                <w:color w:val="000000"/>
                <w:sz w:val="20"/>
                <w:szCs w:val="20"/>
              </w:rPr>
            </w:pPr>
            <w:r>
              <w:rPr>
                <w:rFonts w:ascii="Calibri" w:hAnsi="Calibri" w:cs="Calibri"/>
                <w:color w:val="000000"/>
                <w:kern w:val="0"/>
                <w:sz w:val="20"/>
                <w:szCs w:val="20"/>
                <w:lang/>
              </w:rPr>
              <w:t>50.00</w:t>
            </w:r>
          </w:p>
        </w:tc>
      </w:tr>
      <w:tr w:rsidR="00000000">
        <w:trPr>
          <w:trHeight w:val="285"/>
        </w:trPr>
        <w:tc>
          <w:tcPr>
            <w:tcW w:w="1787" w:type="dxa"/>
            <w:vMerge/>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jc w:val="left"/>
              <w:rPr>
                <w:rFonts w:ascii="Calibri" w:hAnsi="Calibri" w:cs="Calibri"/>
                <w:color w:val="000000"/>
                <w:sz w:val="20"/>
                <w:szCs w:val="20"/>
              </w:rPr>
            </w:pPr>
          </w:p>
        </w:tc>
        <w:tc>
          <w:tcPr>
            <w:tcW w:w="2059" w:type="dxa"/>
            <w:vMerge/>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jc w:val="center"/>
              <w:rPr>
                <w:rFonts w:ascii="Calibri" w:hAnsi="Calibri" w:cs="Calibri"/>
                <w:color w:val="000000"/>
                <w:sz w:val="20"/>
                <w:szCs w:val="20"/>
              </w:rPr>
            </w:pPr>
          </w:p>
        </w:tc>
        <w:tc>
          <w:tcPr>
            <w:tcW w:w="1757" w:type="dxa"/>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widowControl/>
              <w:jc w:val="left"/>
              <w:textAlignment w:val="center"/>
              <w:rPr>
                <w:rFonts w:ascii="Calibri" w:hAnsi="Calibri" w:cs="Calibri"/>
                <w:color w:val="000000"/>
                <w:sz w:val="20"/>
                <w:szCs w:val="20"/>
              </w:rPr>
            </w:pPr>
            <w:r>
              <w:rPr>
                <w:rFonts w:ascii="Calibri" w:hAnsi="Calibri" w:cs="Calibri"/>
                <w:color w:val="000000"/>
                <w:kern w:val="0"/>
                <w:sz w:val="20"/>
                <w:szCs w:val="20"/>
                <w:lang/>
              </w:rPr>
              <w:t>汉语言文学</w:t>
            </w:r>
          </w:p>
        </w:tc>
        <w:tc>
          <w:tcPr>
            <w:tcW w:w="2024" w:type="dxa"/>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widowControl/>
              <w:jc w:val="center"/>
              <w:textAlignment w:val="center"/>
              <w:rPr>
                <w:rFonts w:ascii="Calibri" w:hAnsi="Calibri" w:cs="Calibri"/>
                <w:color w:val="000000"/>
                <w:sz w:val="20"/>
                <w:szCs w:val="20"/>
              </w:rPr>
            </w:pPr>
            <w:r>
              <w:rPr>
                <w:rFonts w:ascii="Calibri" w:hAnsi="Calibri" w:cs="Calibri"/>
                <w:color w:val="000000"/>
                <w:kern w:val="0"/>
                <w:sz w:val="20"/>
                <w:szCs w:val="20"/>
                <w:lang/>
              </w:rPr>
              <w:t>46.15</w:t>
            </w:r>
          </w:p>
        </w:tc>
      </w:tr>
      <w:tr w:rsidR="00000000">
        <w:trPr>
          <w:trHeight w:val="285"/>
        </w:trPr>
        <w:tc>
          <w:tcPr>
            <w:tcW w:w="1787" w:type="dxa"/>
            <w:vMerge w:val="restart"/>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widowControl/>
              <w:jc w:val="left"/>
              <w:textAlignment w:val="center"/>
              <w:rPr>
                <w:rFonts w:ascii="Calibri" w:hAnsi="Calibri" w:cs="Calibri"/>
                <w:color w:val="000000"/>
                <w:sz w:val="20"/>
                <w:szCs w:val="20"/>
              </w:rPr>
            </w:pPr>
            <w:r>
              <w:rPr>
                <w:rFonts w:ascii="Calibri" w:hAnsi="Calibri" w:cs="Calibri"/>
                <w:color w:val="000000"/>
                <w:kern w:val="0"/>
                <w:sz w:val="20"/>
                <w:szCs w:val="20"/>
                <w:lang/>
              </w:rPr>
              <w:t>工程学部</w:t>
            </w:r>
          </w:p>
        </w:tc>
        <w:tc>
          <w:tcPr>
            <w:tcW w:w="2059" w:type="dxa"/>
            <w:vMerge w:val="restart"/>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widowControl/>
              <w:jc w:val="center"/>
              <w:textAlignment w:val="center"/>
              <w:rPr>
                <w:rFonts w:ascii="Calibri" w:hAnsi="Calibri" w:cs="Calibri"/>
                <w:color w:val="000000"/>
                <w:sz w:val="20"/>
                <w:szCs w:val="20"/>
              </w:rPr>
            </w:pPr>
            <w:r>
              <w:rPr>
                <w:rFonts w:ascii="Calibri" w:hAnsi="Calibri" w:cs="Calibri"/>
                <w:color w:val="000000"/>
                <w:kern w:val="0"/>
                <w:sz w:val="20"/>
                <w:szCs w:val="20"/>
                <w:lang/>
              </w:rPr>
              <w:t>6</w:t>
            </w:r>
            <w:r>
              <w:rPr>
                <w:rFonts w:ascii="Calibri" w:hAnsi="Calibri" w:cs="Calibri"/>
                <w:color w:val="000000"/>
                <w:kern w:val="0"/>
                <w:sz w:val="20"/>
                <w:szCs w:val="20"/>
                <w:lang/>
              </w:rPr>
              <w:t>3.49</w:t>
            </w:r>
          </w:p>
        </w:tc>
        <w:tc>
          <w:tcPr>
            <w:tcW w:w="1757" w:type="dxa"/>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widowControl/>
              <w:jc w:val="left"/>
              <w:textAlignment w:val="center"/>
              <w:rPr>
                <w:rFonts w:ascii="Calibri" w:hAnsi="Calibri" w:cs="Calibri"/>
                <w:color w:val="000000"/>
                <w:sz w:val="20"/>
                <w:szCs w:val="20"/>
              </w:rPr>
            </w:pPr>
            <w:r>
              <w:rPr>
                <w:rFonts w:ascii="Calibri" w:hAnsi="Calibri" w:cs="Calibri"/>
                <w:color w:val="000000"/>
                <w:kern w:val="0"/>
                <w:sz w:val="20"/>
                <w:szCs w:val="20"/>
                <w:lang/>
              </w:rPr>
              <w:t>化学工程与工艺</w:t>
            </w:r>
          </w:p>
        </w:tc>
        <w:tc>
          <w:tcPr>
            <w:tcW w:w="2024" w:type="dxa"/>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widowControl/>
              <w:jc w:val="center"/>
              <w:textAlignment w:val="center"/>
              <w:rPr>
                <w:rFonts w:ascii="Calibri" w:hAnsi="Calibri" w:cs="Calibri"/>
                <w:color w:val="000000"/>
                <w:sz w:val="20"/>
                <w:szCs w:val="20"/>
              </w:rPr>
            </w:pPr>
            <w:r>
              <w:rPr>
                <w:rFonts w:ascii="Calibri" w:hAnsi="Calibri" w:cs="Calibri"/>
                <w:color w:val="000000"/>
                <w:kern w:val="0"/>
                <w:sz w:val="20"/>
                <w:szCs w:val="20"/>
                <w:lang/>
              </w:rPr>
              <w:t>78.95</w:t>
            </w:r>
          </w:p>
        </w:tc>
      </w:tr>
      <w:tr w:rsidR="00000000">
        <w:trPr>
          <w:trHeight w:val="285"/>
        </w:trPr>
        <w:tc>
          <w:tcPr>
            <w:tcW w:w="1787" w:type="dxa"/>
            <w:vMerge/>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jc w:val="left"/>
              <w:rPr>
                <w:rFonts w:ascii="Calibri" w:hAnsi="Calibri" w:cs="Calibri"/>
                <w:color w:val="000000"/>
                <w:sz w:val="20"/>
                <w:szCs w:val="20"/>
              </w:rPr>
            </w:pPr>
          </w:p>
        </w:tc>
        <w:tc>
          <w:tcPr>
            <w:tcW w:w="2059" w:type="dxa"/>
            <w:vMerge/>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jc w:val="center"/>
              <w:rPr>
                <w:rFonts w:ascii="Calibri" w:hAnsi="Calibri" w:cs="Calibri"/>
                <w:color w:val="000000"/>
                <w:sz w:val="20"/>
                <w:szCs w:val="20"/>
              </w:rPr>
            </w:pPr>
          </w:p>
        </w:tc>
        <w:tc>
          <w:tcPr>
            <w:tcW w:w="1757" w:type="dxa"/>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widowControl/>
              <w:jc w:val="left"/>
              <w:textAlignment w:val="center"/>
              <w:rPr>
                <w:rFonts w:ascii="Calibri" w:hAnsi="Calibri" w:cs="Calibri"/>
                <w:color w:val="000000"/>
                <w:sz w:val="20"/>
                <w:szCs w:val="20"/>
              </w:rPr>
            </w:pPr>
            <w:r>
              <w:rPr>
                <w:rFonts w:ascii="Calibri" w:hAnsi="Calibri" w:cs="Calibri"/>
                <w:color w:val="000000"/>
                <w:kern w:val="0"/>
                <w:sz w:val="20"/>
                <w:szCs w:val="20"/>
                <w:lang/>
              </w:rPr>
              <w:t>服装设计与工程</w:t>
            </w:r>
          </w:p>
        </w:tc>
        <w:tc>
          <w:tcPr>
            <w:tcW w:w="2024" w:type="dxa"/>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widowControl/>
              <w:jc w:val="center"/>
              <w:textAlignment w:val="center"/>
              <w:rPr>
                <w:rFonts w:ascii="Calibri" w:hAnsi="Calibri" w:cs="Calibri"/>
                <w:color w:val="000000"/>
                <w:sz w:val="20"/>
                <w:szCs w:val="20"/>
              </w:rPr>
            </w:pPr>
            <w:r>
              <w:rPr>
                <w:rFonts w:ascii="Calibri" w:hAnsi="Calibri" w:cs="Calibri"/>
                <w:color w:val="000000"/>
                <w:kern w:val="0"/>
                <w:sz w:val="20"/>
                <w:szCs w:val="20"/>
                <w:lang/>
              </w:rPr>
              <w:t>75.86</w:t>
            </w:r>
          </w:p>
        </w:tc>
      </w:tr>
      <w:tr w:rsidR="00000000">
        <w:trPr>
          <w:trHeight w:val="285"/>
        </w:trPr>
        <w:tc>
          <w:tcPr>
            <w:tcW w:w="1787" w:type="dxa"/>
            <w:vMerge/>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jc w:val="left"/>
              <w:rPr>
                <w:rFonts w:ascii="Calibri" w:hAnsi="Calibri" w:cs="Calibri"/>
                <w:color w:val="000000"/>
                <w:sz w:val="20"/>
                <w:szCs w:val="20"/>
              </w:rPr>
            </w:pPr>
          </w:p>
        </w:tc>
        <w:tc>
          <w:tcPr>
            <w:tcW w:w="2059" w:type="dxa"/>
            <w:vMerge/>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jc w:val="center"/>
              <w:rPr>
                <w:rFonts w:ascii="Calibri" w:hAnsi="Calibri" w:cs="Calibri"/>
                <w:color w:val="000000"/>
                <w:sz w:val="20"/>
                <w:szCs w:val="20"/>
              </w:rPr>
            </w:pPr>
          </w:p>
        </w:tc>
        <w:tc>
          <w:tcPr>
            <w:tcW w:w="1757" w:type="dxa"/>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widowControl/>
              <w:jc w:val="left"/>
              <w:textAlignment w:val="center"/>
              <w:rPr>
                <w:rFonts w:ascii="Calibri" w:hAnsi="Calibri" w:cs="Calibri"/>
                <w:color w:val="000000"/>
                <w:sz w:val="20"/>
                <w:szCs w:val="20"/>
              </w:rPr>
            </w:pPr>
            <w:r>
              <w:rPr>
                <w:rFonts w:ascii="Calibri" w:hAnsi="Calibri" w:cs="Calibri"/>
                <w:color w:val="000000"/>
                <w:kern w:val="0"/>
                <w:sz w:val="20"/>
                <w:szCs w:val="20"/>
                <w:lang/>
              </w:rPr>
              <w:t>土木工程</w:t>
            </w:r>
          </w:p>
        </w:tc>
        <w:tc>
          <w:tcPr>
            <w:tcW w:w="2024" w:type="dxa"/>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widowControl/>
              <w:jc w:val="center"/>
              <w:textAlignment w:val="center"/>
              <w:rPr>
                <w:rFonts w:ascii="Calibri" w:hAnsi="Calibri" w:cs="Calibri"/>
                <w:color w:val="000000"/>
                <w:sz w:val="20"/>
                <w:szCs w:val="20"/>
              </w:rPr>
            </w:pPr>
            <w:r>
              <w:rPr>
                <w:rFonts w:ascii="Calibri" w:hAnsi="Calibri" w:cs="Calibri"/>
                <w:color w:val="000000"/>
                <w:kern w:val="0"/>
                <w:sz w:val="20"/>
                <w:szCs w:val="20"/>
                <w:lang/>
              </w:rPr>
              <w:t>70.73</w:t>
            </w:r>
          </w:p>
        </w:tc>
      </w:tr>
      <w:tr w:rsidR="00000000">
        <w:trPr>
          <w:trHeight w:val="285"/>
        </w:trPr>
        <w:tc>
          <w:tcPr>
            <w:tcW w:w="1787" w:type="dxa"/>
            <w:vMerge/>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jc w:val="left"/>
              <w:rPr>
                <w:rFonts w:ascii="Calibri" w:hAnsi="Calibri" w:cs="Calibri"/>
                <w:color w:val="000000"/>
                <w:sz w:val="20"/>
                <w:szCs w:val="20"/>
              </w:rPr>
            </w:pPr>
          </w:p>
        </w:tc>
        <w:tc>
          <w:tcPr>
            <w:tcW w:w="2059" w:type="dxa"/>
            <w:vMerge/>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jc w:val="center"/>
              <w:rPr>
                <w:rFonts w:ascii="Calibri" w:hAnsi="Calibri" w:cs="Calibri"/>
                <w:color w:val="000000"/>
                <w:sz w:val="20"/>
                <w:szCs w:val="20"/>
              </w:rPr>
            </w:pPr>
          </w:p>
        </w:tc>
        <w:tc>
          <w:tcPr>
            <w:tcW w:w="1757" w:type="dxa"/>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widowControl/>
              <w:jc w:val="left"/>
              <w:textAlignment w:val="center"/>
              <w:rPr>
                <w:rFonts w:ascii="Calibri" w:hAnsi="Calibri" w:cs="Calibri"/>
                <w:color w:val="000000"/>
                <w:sz w:val="20"/>
                <w:szCs w:val="20"/>
              </w:rPr>
            </w:pPr>
            <w:r>
              <w:rPr>
                <w:rFonts w:ascii="Calibri" w:hAnsi="Calibri" w:cs="Calibri"/>
                <w:color w:val="000000"/>
                <w:kern w:val="0"/>
                <w:sz w:val="20"/>
                <w:szCs w:val="20"/>
                <w:lang/>
              </w:rPr>
              <w:t>机械工程</w:t>
            </w:r>
          </w:p>
        </w:tc>
        <w:tc>
          <w:tcPr>
            <w:tcW w:w="2024" w:type="dxa"/>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widowControl/>
              <w:jc w:val="center"/>
              <w:textAlignment w:val="center"/>
              <w:rPr>
                <w:rFonts w:ascii="Calibri" w:hAnsi="Calibri" w:cs="Calibri"/>
                <w:color w:val="000000"/>
                <w:sz w:val="20"/>
                <w:szCs w:val="20"/>
              </w:rPr>
            </w:pPr>
            <w:r>
              <w:rPr>
                <w:rFonts w:ascii="Calibri" w:hAnsi="Calibri" w:cs="Calibri"/>
                <w:color w:val="000000"/>
                <w:kern w:val="0"/>
                <w:sz w:val="20"/>
                <w:szCs w:val="20"/>
                <w:lang/>
              </w:rPr>
              <w:t>68.75</w:t>
            </w:r>
          </w:p>
        </w:tc>
      </w:tr>
      <w:tr w:rsidR="00000000">
        <w:trPr>
          <w:trHeight w:val="285"/>
        </w:trPr>
        <w:tc>
          <w:tcPr>
            <w:tcW w:w="1787" w:type="dxa"/>
            <w:vMerge/>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jc w:val="left"/>
              <w:rPr>
                <w:rFonts w:ascii="Calibri" w:hAnsi="Calibri" w:cs="Calibri"/>
                <w:color w:val="000000"/>
                <w:sz w:val="20"/>
                <w:szCs w:val="20"/>
              </w:rPr>
            </w:pPr>
          </w:p>
        </w:tc>
        <w:tc>
          <w:tcPr>
            <w:tcW w:w="2059" w:type="dxa"/>
            <w:vMerge/>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jc w:val="center"/>
              <w:rPr>
                <w:rFonts w:ascii="Calibri" w:hAnsi="Calibri" w:cs="Calibri"/>
                <w:color w:val="000000"/>
                <w:sz w:val="20"/>
                <w:szCs w:val="20"/>
              </w:rPr>
            </w:pPr>
          </w:p>
        </w:tc>
        <w:tc>
          <w:tcPr>
            <w:tcW w:w="1757" w:type="dxa"/>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widowControl/>
              <w:jc w:val="left"/>
              <w:textAlignment w:val="center"/>
              <w:rPr>
                <w:rFonts w:ascii="Calibri" w:hAnsi="Calibri" w:cs="Calibri"/>
                <w:color w:val="000000"/>
                <w:sz w:val="20"/>
                <w:szCs w:val="20"/>
              </w:rPr>
            </w:pPr>
            <w:r>
              <w:rPr>
                <w:rFonts w:ascii="Calibri" w:hAnsi="Calibri" w:cs="Calibri"/>
                <w:color w:val="000000"/>
                <w:kern w:val="0"/>
                <w:sz w:val="20"/>
                <w:szCs w:val="20"/>
                <w:lang/>
              </w:rPr>
              <w:t>工程管理</w:t>
            </w:r>
          </w:p>
        </w:tc>
        <w:tc>
          <w:tcPr>
            <w:tcW w:w="2024" w:type="dxa"/>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widowControl/>
              <w:jc w:val="center"/>
              <w:textAlignment w:val="center"/>
              <w:rPr>
                <w:rFonts w:ascii="Calibri" w:hAnsi="Calibri" w:cs="Calibri"/>
                <w:color w:val="000000"/>
                <w:sz w:val="20"/>
                <w:szCs w:val="20"/>
              </w:rPr>
            </w:pPr>
            <w:r>
              <w:rPr>
                <w:rFonts w:ascii="Calibri" w:hAnsi="Calibri" w:cs="Calibri"/>
                <w:color w:val="000000"/>
                <w:kern w:val="0"/>
                <w:sz w:val="20"/>
                <w:szCs w:val="20"/>
                <w:lang/>
              </w:rPr>
              <w:t>62.07</w:t>
            </w:r>
          </w:p>
        </w:tc>
      </w:tr>
      <w:tr w:rsidR="00000000">
        <w:trPr>
          <w:trHeight w:val="285"/>
        </w:trPr>
        <w:tc>
          <w:tcPr>
            <w:tcW w:w="1787" w:type="dxa"/>
            <w:vMerge/>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jc w:val="left"/>
              <w:rPr>
                <w:rFonts w:ascii="Calibri" w:hAnsi="Calibri" w:cs="Calibri"/>
                <w:color w:val="000000"/>
                <w:sz w:val="20"/>
                <w:szCs w:val="20"/>
              </w:rPr>
            </w:pPr>
          </w:p>
        </w:tc>
        <w:tc>
          <w:tcPr>
            <w:tcW w:w="2059" w:type="dxa"/>
            <w:vMerge/>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jc w:val="center"/>
              <w:rPr>
                <w:rFonts w:ascii="Calibri" w:hAnsi="Calibri" w:cs="Calibri"/>
                <w:color w:val="000000"/>
                <w:sz w:val="20"/>
                <w:szCs w:val="20"/>
              </w:rPr>
            </w:pPr>
          </w:p>
        </w:tc>
        <w:tc>
          <w:tcPr>
            <w:tcW w:w="1757" w:type="dxa"/>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widowControl/>
              <w:jc w:val="left"/>
              <w:textAlignment w:val="center"/>
              <w:rPr>
                <w:rFonts w:ascii="Calibri" w:hAnsi="Calibri" w:cs="Calibri"/>
                <w:color w:val="000000"/>
                <w:sz w:val="20"/>
                <w:szCs w:val="20"/>
              </w:rPr>
            </w:pPr>
            <w:r>
              <w:rPr>
                <w:rFonts w:ascii="Calibri" w:hAnsi="Calibri" w:cs="Calibri"/>
                <w:color w:val="000000"/>
                <w:kern w:val="0"/>
                <w:sz w:val="20"/>
                <w:szCs w:val="20"/>
                <w:lang/>
              </w:rPr>
              <w:t>纺织工程</w:t>
            </w:r>
          </w:p>
        </w:tc>
        <w:tc>
          <w:tcPr>
            <w:tcW w:w="2024" w:type="dxa"/>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widowControl/>
              <w:jc w:val="center"/>
              <w:textAlignment w:val="center"/>
              <w:rPr>
                <w:rFonts w:ascii="Calibri" w:hAnsi="Calibri" w:cs="Calibri"/>
                <w:color w:val="000000"/>
                <w:sz w:val="20"/>
                <w:szCs w:val="20"/>
              </w:rPr>
            </w:pPr>
            <w:r>
              <w:rPr>
                <w:rFonts w:ascii="Calibri" w:hAnsi="Calibri" w:cs="Calibri"/>
                <w:color w:val="000000"/>
                <w:kern w:val="0"/>
                <w:sz w:val="20"/>
                <w:szCs w:val="20"/>
                <w:lang/>
              </w:rPr>
              <w:t>57.58</w:t>
            </w:r>
          </w:p>
        </w:tc>
      </w:tr>
      <w:tr w:rsidR="00000000">
        <w:trPr>
          <w:trHeight w:val="285"/>
        </w:trPr>
        <w:tc>
          <w:tcPr>
            <w:tcW w:w="1787" w:type="dxa"/>
            <w:vMerge/>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jc w:val="left"/>
              <w:rPr>
                <w:rFonts w:ascii="Calibri" w:hAnsi="Calibri" w:cs="Calibri"/>
                <w:color w:val="000000"/>
                <w:sz w:val="20"/>
                <w:szCs w:val="20"/>
              </w:rPr>
            </w:pPr>
          </w:p>
        </w:tc>
        <w:tc>
          <w:tcPr>
            <w:tcW w:w="2059" w:type="dxa"/>
            <w:vMerge/>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jc w:val="center"/>
              <w:rPr>
                <w:rFonts w:ascii="Calibri" w:hAnsi="Calibri" w:cs="Calibri"/>
                <w:color w:val="000000"/>
                <w:sz w:val="20"/>
                <w:szCs w:val="20"/>
              </w:rPr>
            </w:pPr>
          </w:p>
        </w:tc>
        <w:tc>
          <w:tcPr>
            <w:tcW w:w="1757" w:type="dxa"/>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widowControl/>
              <w:jc w:val="left"/>
              <w:textAlignment w:val="center"/>
              <w:rPr>
                <w:rFonts w:ascii="Calibri" w:hAnsi="Calibri" w:cs="Calibri"/>
                <w:color w:val="000000"/>
                <w:sz w:val="20"/>
                <w:szCs w:val="20"/>
              </w:rPr>
            </w:pPr>
            <w:r>
              <w:rPr>
                <w:rFonts w:ascii="Calibri" w:hAnsi="Calibri" w:cs="Calibri"/>
                <w:color w:val="000000"/>
                <w:kern w:val="0"/>
                <w:sz w:val="20"/>
                <w:szCs w:val="20"/>
                <w:lang/>
              </w:rPr>
              <w:t>服装与服饰设计</w:t>
            </w:r>
          </w:p>
        </w:tc>
        <w:tc>
          <w:tcPr>
            <w:tcW w:w="2024" w:type="dxa"/>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widowControl/>
              <w:jc w:val="center"/>
              <w:textAlignment w:val="center"/>
              <w:rPr>
                <w:rFonts w:ascii="Calibri" w:hAnsi="Calibri" w:cs="Calibri"/>
                <w:color w:val="000000"/>
                <w:sz w:val="20"/>
                <w:szCs w:val="20"/>
              </w:rPr>
            </w:pPr>
            <w:r>
              <w:rPr>
                <w:rFonts w:ascii="Calibri" w:hAnsi="Calibri" w:cs="Calibri"/>
                <w:color w:val="000000"/>
                <w:kern w:val="0"/>
                <w:sz w:val="20"/>
                <w:szCs w:val="20"/>
                <w:lang/>
              </w:rPr>
              <w:t>51.11</w:t>
            </w:r>
          </w:p>
        </w:tc>
      </w:tr>
      <w:tr w:rsidR="00000000">
        <w:trPr>
          <w:trHeight w:val="285"/>
        </w:trPr>
        <w:tc>
          <w:tcPr>
            <w:tcW w:w="1787" w:type="dxa"/>
            <w:vMerge w:val="restart"/>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widowControl/>
              <w:jc w:val="left"/>
              <w:textAlignment w:val="center"/>
              <w:rPr>
                <w:rFonts w:ascii="Calibri" w:hAnsi="Calibri" w:cs="Calibri"/>
                <w:color w:val="000000"/>
                <w:sz w:val="20"/>
                <w:szCs w:val="20"/>
              </w:rPr>
            </w:pPr>
            <w:r>
              <w:rPr>
                <w:rFonts w:ascii="Calibri" w:hAnsi="Calibri" w:cs="Calibri"/>
                <w:color w:val="000000"/>
                <w:kern w:val="0"/>
                <w:sz w:val="20"/>
                <w:szCs w:val="20"/>
                <w:lang/>
              </w:rPr>
              <w:t>经济与管理学部</w:t>
            </w:r>
          </w:p>
        </w:tc>
        <w:tc>
          <w:tcPr>
            <w:tcW w:w="2059" w:type="dxa"/>
            <w:vMerge w:val="restart"/>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widowControl/>
              <w:jc w:val="center"/>
              <w:textAlignment w:val="center"/>
              <w:rPr>
                <w:rFonts w:ascii="Calibri" w:hAnsi="Calibri" w:cs="Calibri"/>
                <w:color w:val="000000"/>
                <w:sz w:val="20"/>
                <w:szCs w:val="20"/>
              </w:rPr>
            </w:pPr>
            <w:r>
              <w:rPr>
                <w:rFonts w:ascii="Calibri" w:hAnsi="Calibri" w:cs="Calibri"/>
                <w:color w:val="000000"/>
                <w:kern w:val="0"/>
                <w:sz w:val="20"/>
                <w:szCs w:val="20"/>
                <w:lang/>
              </w:rPr>
              <w:t>62.32</w:t>
            </w:r>
          </w:p>
        </w:tc>
        <w:tc>
          <w:tcPr>
            <w:tcW w:w="1757" w:type="dxa"/>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widowControl/>
              <w:jc w:val="left"/>
              <w:textAlignment w:val="center"/>
              <w:rPr>
                <w:rFonts w:ascii="Calibri" w:hAnsi="Calibri" w:cs="Calibri"/>
                <w:color w:val="000000"/>
                <w:sz w:val="20"/>
                <w:szCs w:val="20"/>
              </w:rPr>
            </w:pPr>
            <w:r>
              <w:rPr>
                <w:rFonts w:ascii="Calibri" w:hAnsi="Calibri" w:cs="Calibri"/>
                <w:color w:val="000000"/>
                <w:kern w:val="0"/>
                <w:sz w:val="20"/>
                <w:szCs w:val="20"/>
                <w:lang/>
              </w:rPr>
              <w:t>行政管理</w:t>
            </w:r>
          </w:p>
        </w:tc>
        <w:tc>
          <w:tcPr>
            <w:tcW w:w="2024" w:type="dxa"/>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widowControl/>
              <w:jc w:val="center"/>
              <w:textAlignment w:val="center"/>
              <w:rPr>
                <w:rFonts w:ascii="Calibri" w:hAnsi="Calibri" w:cs="Calibri"/>
                <w:color w:val="000000"/>
                <w:sz w:val="20"/>
                <w:szCs w:val="20"/>
              </w:rPr>
            </w:pPr>
            <w:r>
              <w:rPr>
                <w:rFonts w:ascii="Calibri" w:hAnsi="Calibri" w:cs="Calibri"/>
                <w:color w:val="000000"/>
                <w:kern w:val="0"/>
                <w:sz w:val="20"/>
                <w:szCs w:val="20"/>
                <w:lang/>
              </w:rPr>
              <w:t>75.00</w:t>
            </w:r>
          </w:p>
        </w:tc>
      </w:tr>
      <w:tr w:rsidR="00000000">
        <w:trPr>
          <w:trHeight w:val="285"/>
        </w:trPr>
        <w:tc>
          <w:tcPr>
            <w:tcW w:w="1787" w:type="dxa"/>
            <w:vMerge/>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jc w:val="left"/>
              <w:rPr>
                <w:rFonts w:ascii="Calibri" w:hAnsi="Calibri" w:cs="Calibri"/>
                <w:color w:val="000000"/>
                <w:sz w:val="20"/>
                <w:szCs w:val="20"/>
              </w:rPr>
            </w:pPr>
          </w:p>
        </w:tc>
        <w:tc>
          <w:tcPr>
            <w:tcW w:w="2059" w:type="dxa"/>
            <w:vMerge/>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jc w:val="center"/>
              <w:rPr>
                <w:rFonts w:ascii="Calibri" w:hAnsi="Calibri" w:cs="Calibri"/>
                <w:color w:val="000000"/>
                <w:sz w:val="20"/>
                <w:szCs w:val="20"/>
              </w:rPr>
            </w:pPr>
          </w:p>
        </w:tc>
        <w:tc>
          <w:tcPr>
            <w:tcW w:w="1757" w:type="dxa"/>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widowControl/>
              <w:jc w:val="left"/>
              <w:textAlignment w:val="center"/>
              <w:rPr>
                <w:rFonts w:ascii="Calibri" w:hAnsi="Calibri" w:cs="Calibri"/>
                <w:color w:val="000000"/>
                <w:sz w:val="20"/>
                <w:szCs w:val="20"/>
              </w:rPr>
            </w:pPr>
            <w:r>
              <w:rPr>
                <w:rFonts w:ascii="Calibri" w:hAnsi="Calibri" w:cs="Calibri"/>
                <w:color w:val="000000"/>
                <w:kern w:val="0"/>
                <w:sz w:val="20"/>
                <w:szCs w:val="20"/>
                <w:lang/>
              </w:rPr>
              <w:t>会计学</w:t>
            </w:r>
          </w:p>
        </w:tc>
        <w:tc>
          <w:tcPr>
            <w:tcW w:w="2024" w:type="dxa"/>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widowControl/>
              <w:jc w:val="center"/>
              <w:textAlignment w:val="center"/>
              <w:rPr>
                <w:rFonts w:ascii="Calibri" w:hAnsi="Calibri" w:cs="Calibri"/>
                <w:color w:val="000000"/>
                <w:sz w:val="20"/>
                <w:szCs w:val="20"/>
              </w:rPr>
            </w:pPr>
            <w:r>
              <w:rPr>
                <w:rFonts w:ascii="Calibri" w:hAnsi="Calibri" w:cs="Calibri"/>
                <w:color w:val="000000"/>
                <w:kern w:val="0"/>
                <w:sz w:val="20"/>
                <w:szCs w:val="20"/>
                <w:lang/>
              </w:rPr>
              <w:t>67.57</w:t>
            </w:r>
          </w:p>
        </w:tc>
      </w:tr>
      <w:tr w:rsidR="00000000">
        <w:trPr>
          <w:trHeight w:val="285"/>
        </w:trPr>
        <w:tc>
          <w:tcPr>
            <w:tcW w:w="1787" w:type="dxa"/>
            <w:vMerge/>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jc w:val="left"/>
              <w:rPr>
                <w:rFonts w:ascii="Calibri" w:hAnsi="Calibri" w:cs="Calibri"/>
                <w:color w:val="000000"/>
                <w:sz w:val="20"/>
                <w:szCs w:val="20"/>
              </w:rPr>
            </w:pPr>
          </w:p>
        </w:tc>
        <w:tc>
          <w:tcPr>
            <w:tcW w:w="2059" w:type="dxa"/>
            <w:vMerge/>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jc w:val="center"/>
              <w:rPr>
                <w:rFonts w:ascii="Calibri" w:hAnsi="Calibri" w:cs="Calibri"/>
                <w:color w:val="000000"/>
                <w:sz w:val="20"/>
                <w:szCs w:val="20"/>
              </w:rPr>
            </w:pPr>
          </w:p>
        </w:tc>
        <w:tc>
          <w:tcPr>
            <w:tcW w:w="1757" w:type="dxa"/>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widowControl/>
              <w:jc w:val="left"/>
              <w:textAlignment w:val="center"/>
              <w:rPr>
                <w:rFonts w:ascii="Calibri" w:hAnsi="Calibri" w:cs="Calibri"/>
                <w:color w:val="000000"/>
                <w:sz w:val="20"/>
                <w:szCs w:val="20"/>
              </w:rPr>
            </w:pPr>
            <w:r>
              <w:rPr>
                <w:rFonts w:ascii="Calibri" w:hAnsi="Calibri" w:cs="Calibri"/>
                <w:color w:val="000000"/>
                <w:kern w:val="0"/>
                <w:sz w:val="20"/>
                <w:szCs w:val="20"/>
                <w:lang/>
              </w:rPr>
              <w:t>市场营销</w:t>
            </w:r>
          </w:p>
        </w:tc>
        <w:tc>
          <w:tcPr>
            <w:tcW w:w="2024" w:type="dxa"/>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widowControl/>
              <w:jc w:val="center"/>
              <w:textAlignment w:val="center"/>
              <w:rPr>
                <w:rFonts w:ascii="Calibri" w:hAnsi="Calibri" w:cs="Calibri"/>
                <w:color w:val="000000"/>
                <w:sz w:val="20"/>
                <w:szCs w:val="20"/>
              </w:rPr>
            </w:pPr>
            <w:r>
              <w:rPr>
                <w:rFonts w:ascii="Calibri" w:hAnsi="Calibri" w:cs="Calibri"/>
                <w:color w:val="000000"/>
                <w:kern w:val="0"/>
                <w:sz w:val="20"/>
                <w:szCs w:val="20"/>
                <w:lang/>
              </w:rPr>
              <w:t>62.07</w:t>
            </w:r>
          </w:p>
        </w:tc>
      </w:tr>
      <w:tr w:rsidR="00000000">
        <w:trPr>
          <w:trHeight w:val="285"/>
        </w:trPr>
        <w:tc>
          <w:tcPr>
            <w:tcW w:w="1787" w:type="dxa"/>
            <w:vMerge/>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jc w:val="left"/>
              <w:rPr>
                <w:rFonts w:ascii="Calibri" w:hAnsi="Calibri" w:cs="Calibri"/>
                <w:color w:val="000000"/>
                <w:sz w:val="20"/>
                <w:szCs w:val="20"/>
              </w:rPr>
            </w:pPr>
          </w:p>
        </w:tc>
        <w:tc>
          <w:tcPr>
            <w:tcW w:w="2059" w:type="dxa"/>
            <w:vMerge/>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jc w:val="center"/>
              <w:rPr>
                <w:rFonts w:ascii="Calibri" w:hAnsi="Calibri" w:cs="Calibri"/>
                <w:color w:val="000000"/>
                <w:sz w:val="20"/>
                <w:szCs w:val="20"/>
              </w:rPr>
            </w:pPr>
          </w:p>
        </w:tc>
        <w:tc>
          <w:tcPr>
            <w:tcW w:w="1757" w:type="dxa"/>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widowControl/>
              <w:jc w:val="left"/>
              <w:textAlignment w:val="center"/>
              <w:rPr>
                <w:rFonts w:ascii="Calibri" w:hAnsi="Calibri" w:cs="Calibri"/>
                <w:color w:val="000000"/>
                <w:sz w:val="20"/>
                <w:szCs w:val="20"/>
              </w:rPr>
            </w:pPr>
            <w:r>
              <w:rPr>
                <w:rFonts w:ascii="Calibri" w:hAnsi="Calibri" w:cs="Calibri"/>
                <w:color w:val="000000"/>
                <w:kern w:val="0"/>
                <w:sz w:val="20"/>
                <w:szCs w:val="20"/>
                <w:lang/>
              </w:rPr>
              <w:t>城市管理</w:t>
            </w:r>
          </w:p>
        </w:tc>
        <w:tc>
          <w:tcPr>
            <w:tcW w:w="2024" w:type="dxa"/>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widowControl/>
              <w:jc w:val="center"/>
              <w:textAlignment w:val="center"/>
              <w:rPr>
                <w:rFonts w:ascii="Calibri" w:hAnsi="Calibri" w:cs="Calibri"/>
                <w:color w:val="000000"/>
                <w:sz w:val="20"/>
                <w:szCs w:val="20"/>
              </w:rPr>
            </w:pPr>
            <w:r>
              <w:rPr>
                <w:rFonts w:ascii="Calibri" w:hAnsi="Calibri" w:cs="Calibri"/>
                <w:color w:val="000000"/>
                <w:kern w:val="0"/>
                <w:sz w:val="20"/>
                <w:szCs w:val="20"/>
                <w:lang/>
              </w:rPr>
              <w:t>52.94</w:t>
            </w:r>
          </w:p>
        </w:tc>
      </w:tr>
      <w:tr w:rsidR="00000000">
        <w:trPr>
          <w:trHeight w:val="285"/>
        </w:trPr>
        <w:tc>
          <w:tcPr>
            <w:tcW w:w="1787" w:type="dxa"/>
            <w:vMerge/>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jc w:val="left"/>
              <w:rPr>
                <w:rFonts w:ascii="Calibri" w:hAnsi="Calibri" w:cs="Calibri"/>
                <w:color w:val="000000"/>
                <w:sz w:val="20"/>
                <w:szCs w:val="20"/>
              </w:rPr>
            </w:pPr>
          </w:p>
        </w:tc>
        <w:tc>
          <w:tcPr>
            <w:tcW w:w="2059" w:type="dxa"/>
            <w:vMerge/>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jc w:val="center"/>
              <w:rPr>
                <w:rFonts w:ascii="Calibri" w:hAnsi="Calibri" w:cs="Calibri"/>
                <w:color w:val="000000"/>
                <w:sz w:val="20"/>
                <w:szCs w:val="20"/>
              </w:rPr>
            </w:pPr>
          </w:p>
        </w:tc>
        <w:tc>
          <w:tcPr>
            <w:tcW w:w="1757" w:type="dxa"/>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widowControl/>
              <w:jc w:val="left"/>
              <w:textAlignment w:val="center"/>
              <w:rPr>
                <w:rFonts w:ascii="Calibri" w:hAnsi="Calibri" w:cs="Calibri"/>
                <w:color w:val="000000"/>
                <w:sz w:val="20"/>
                <w:szCs w:val="20"/>
              </w:rPr>
            </w:pPr>
            <w:r>
              <w:rPr>
                <w:rFonts w:ascii="Calibri" w:hAnsi="Calibri" w:cs="Calibri"/>
                <w:color w:val="000000"/>
                <w:kern w:val="0"/>
                <w:sz w:val="20"/>
                <w:szCs w:val="20"/>
                <w:lang/>
              </w:rPr>
              <w:t>国际经济与贸易</w:t>
            </w:r>
          </w:p>
        </w:tc>
        <w:tc>
          <w:tcPr>
            <w:tcW w:w="2024" w:type="dxa"/>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widowControl/>
              <w:jc w:val="center"/>
              <w:textAlignment w:val="center"/>
              <w:rPr>
                <w:rFonts w:ascii="Calibri" w:hAnsi="Calibri" w:cs="Calibri"/>
                <w:color w:val="000000"/>
                <w:sz w:val="20"/>
                <w:szCs w:val="20"/>
              </w:rPr>
            </w:pPr>
            <w:r>
              <w:rPr>
                <w:rFonts w:ascii="Calibri" w:hAnsi="Calibri" w:cs="Calibri"/>
                <w:color w:val="000000"/>
                <w:kern w:val="0"/>
                <w:sz w:val="20"/>
                <w:szCs w:val="20"/>
                <w:lang/>
              </w:rPr>
              <w:t>50.00</w:t>
            </w:r>
          </w:p>
        </w:tc>
      </w:tr>
      <w:tr w:rsidR="00000000">
        <w:trPr>
          <w:trHeight w:val="285"/>
        </w:trPr>
        <w:tc>
          <w:tcPr>
            <w:tcW w:w="1787" w:type="dxa"/>
            <w:vMerge w:val="restart"/>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widowControl/>
              <w:jc w:val="left"/>
              <w:textAlignment w:val="center"/>
              <w:rPr>
                <w:rFonts w:ascii="Calibri" w:hAnsi="Calibri" w:cs="Calibri"/>
                <w:color w:val="000000"/>
                <w:sz w:val="20"/>
                <w:szCs w:val="20"/>
              </w:rPr>
            </w:pPr>
            <w:r>
              <w:rPr>
                <w:rFonts w:ascii="Calibri" w:hAnsi="Calibri" w:cs="Calibri"/>
                <w:color w:val="000000"/>
                <w:kern w:val="0"/>
                <w:sz w:val="20"/>
                <w:szCs w:val="20"/>
                <w:lang/>
              </w:rPr>
              <w:t>理学部</w:t>
            </w:r>
          </w:p>
        </w:tc>
        <w:tc>
          <w:tcPr>
            <w:tcW w:w="2059" w:type="dxa"/>
            <w:vMerge w:val="restart"/>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widowControl/>
              <w:jc w:val="center"/>
              <w:textAlignment w:val="center"/>
              <w:rPr>
                <w:rFonts w:ascii="Calibri" w:hAnsi="Calibri" w:cs="Calibri"/>
                <w:color w:val="000000"/>
                <w:sz w:val="20"/>
                <w:szCs w:val="20"/>
              </w:rPr>
            </w:pPr>
            <w:r>
              <w:rPr>
                <w:rFonts w:ascii="Calibri" w:hAnsi="Calibri" w:cs="Calibri"/>
                <w:color w:val="000000"/>
                <w:kern w:val="0"/>
                <w:sz w:val="20"/>
                <w:szCs w:val="20"/>
                <w:lang/>
              </w:rPr>
              <w:t>50.00</w:t>
            </w:r>
          </w:p>
        </w:tc>
        <w:tc>
          <w:tcPr>
            <w:tcW w:w="1757" w:type="dxa"/>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widowControl/>
              <w:jc w:val="left"/>
              <w:textAlignment w:val="center"/>
              <w:rPr>
                <w:rFonts w:ascii="Calibri" w:hAnsi="Calibri" w:cs="Calibri"/>
                <w:color w:val="000000"/>
                <w:sz w:val="20"/>
                <w:szCs w:val="20"/>
              </w:rPr>
            </w:pPr>
            <w:r>
              <w:rPr>
                <w:rFonts w:ascii="Calibri" w:hAnsi="Calibri" w:cs="Calibri"/>
                <w:color w:val="000000"/>
                <w:kern w:val="0"/>
                <w:sz w:val="20"/>
                <w:szCs w:val="20"/>
                <w:lang/>
              </w:rPr>
              <w:t>应用心理学</w:t>
            </w:r>
          </w:p>
        </w:tc>
        <w:tc>
          <w:tcPr>
            <w:tcW w:w="2024" w:type="dxa"/>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widowControl/>
              <w:jc w:val="center"/>
              <w:textAlignment w:val="center"/>
              <w:rPr>
                <w:rFonts w:ascii="Calibri" w:hAnsi="Calibri" w:cs="Calibri"/>
                <w:color w:val="000000"/>
                <w:sz w:val="20"/>
                <w:szCs w:val="20"/>
              </w:rPr>
            </w:pPr>
            <w:r>
              <w:rPr>
                <w:rFonts w:ascii="Calibri" w:hAnsi="Calibri" w:cs="Calibri"/>
                <w:color w:val="000000"/>
                <w:kern w:val="0"/>
                <w:sz w:val="20"/>
                <w:szCs w:val="20"/>
                <w:lang/>
              </w:rPr>
              <w:t>66.67</w:t>
            </w:r>
          </w:p>
        </w:tc>
      </w:tr>
      <w:tr w:rsidR="00000000">
        <w:trPr>
          <w:trHeight w:val="285"/>
        </w:trPr>
        <w:tc>
          <w:tcPr>
            <w:tcW w:w="1787" w:type="dxa"/>
            <w:vMerge/>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jc w:val="left"/>
              <w:rPr>
                <w:rFonts w:ascii="Calibri" w:hAnsi="Calibri" w:cs="Calibri"/>
                <w:color w:val="000000"/>
                <w:sz w:val="20"/>
                <w:szCs w:val="20"/>
              </w:rPr>
            </w:pPr>
          </w:p>
        </w:tc>
        <w:tc>
          <w:tcPr>
            <w:tcW w:w="2059" w:type="dxa"/>
            <w:vMerge/>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jc w:val="center"/>
              <w:rPr>
                <w:rFonts w:ascii="Calibri" w:hAnsi="Calibri" w:cs="Calibri"/>
                <w:color w:val="000000"/>
                <w:sz w:val="20"/>
                <w:szCs w:val="20"/>
              </w:rPr>
            </w:pPr>
          </w:p>
        </w:tc>
        <w:tc>
          <w:tcPr>
            <w:tcW w:w="1757" w:type="dxa"/>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widowControl/>
              <w:jc w:val="left"/>
              <w:textAlignment w:val="center"/>
              <w:rPr>
                <w:rFonts w:ascii="Calibri" w:hAnsi="Calibri" w:cs="Calibri"/>
                <w:color w:val="000000"/>
                <w:sz w:val="20"/>
                <w:szCs w:val="20"/>
              </w:rPr>
            </w:pPr>
            <w:r>
              <w:rPr>
                <w:rFonts w:ascii="Calibri" w:hAnsi="Calibri" w:cs="Calibri"/>
                <w:color w:val="000000"/>
                <w:kern w:val="0"/>
                <w:sz w:val="20"/>
                <w:szCs w:val="20"/>
                <w:lang/>
              </w:rPr>
              <w:t>应用统计学</w:t>
            </w:r>
          </w:p>
        </w:tc>
        <w:tc>
          <w:tcPr>
            <w:tcW w:w="2024" w:type="dxa"/>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widowControl/>
              <w:jc w:val="center"/>
              <w:textAlignment w:val="center"/>
              <w:rPr>
                <w:rFonts w:ascii="Calibri" w:hAnsi="Calibri" w:cs="Calibri"/>
                <w:color w:val="000000"/>
                <w:sz w:val="20"/>
                <w:szCs w:val="20"/>
              </w:rPr>
            </w:pPr>
            <w:r>
              <w:rPr>
                <w:rFonts w:ascii="Calibri" w:hAnsi="Calibri" w:cs="Calibri"/>
                <w:color w:val="000000"/>
                <w:kern w:val="0"/>
                <w:sz w:val="20"/>
                <w:szCs w:val="20"/>
                <w:lang/>
              </w:rPr>
              <w:t>61.29</w:t>
            </w:r>
          </w:p>
        </w:tc>
      </w:tr>
      <w:tr w:rsidR="00000000">
        <w:trPr>
          <w:trHeight w:val="285"/>
        </w:trPr>
        <w:tc>
          <w:tcPr>
            <w:tcW w:w="1787" w:type="dxa"/>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widowControl/>
              <w:jc w:val="left"/>
              <w:textAlignment w:val="center"/>
              <w:rPr>
                <w:rFonts w:ascii="Calibri" w:hAnsi="Calibri" w:cs="Calibri"/>
                <w:b/>
                <w:color w:val="000000"/>
                <w:sz w:val="20"/>
                <w:szCs w:val="20"/>
              </w:rPr>
            </w:pPr>
            <w:r>
              <w:rPr>
                <w:rFonts w:ascii="Calibri" w:hAnsi="Calibri" w:cs="Calibri"/>
                <w:b/>
                <w:color w:val="000000"/>
                <w:kern w:val="0"/>
                <w:sz w:val="20"/>
                <w:szCs w:val="20"/>
                <w:lang/>
              </w:rPr>
              <w:t>本校本科平均</w:t>
            </w:r>
          </w:p>
        </w:tc>
        <w:tc>
          <w:tcPr>
            <w:tcW w:w="2059" w:type="dxa"/>
            <w:tcBorders>
              <w:top w:val="single" w:sz="12" w:space="0" w:color="FFFFFF"/>
              <w:left w:val="single" w:sz="12" w:space="0" w:color="FFFFFF"/>
              <w:bottom w:val="single" w:sz="12" w:space="0" w:color="FFFFFF"/>
              <w:right w:val="single" w:sz="12" w:space="0" w:color="FFFFFF"/>
            </w:tcBorders>
            <w:shd w:val="clear" w:color="auto" w:fill="C5D5E9"/>
            <w:vAlign w:val="center"/>
          </w:tcPr>
          <w:p w:rsidR="00000000" w:rsidRDefault="009A1129">
            <w:pPr>
              <w:widowControl/>
              <w:jc w:val="center"/>
              <w:textAlignment w:val="center"/>
              <w:rPr>
                <w:rFonts w:ascii="Calibri" w:hAnsi="Calibri" w:cs="Calibri"/>
                <w:b/>
                <w:color w:val="000000"/>
                <w:sz w:val="20"/>
                <w:szCs w:val="20"/>
              </w:rPr>
            </w:pPr>
            <w:r>
              <w:rPr>
                <w:rFonts w:ascii="Calibri" w:hAnsi="Calibri" w:cs="Calibri"/>
                <w:b/>
                <w:color w:val="000000"/>
                <w:kern w:val="0"/>
                <w:sz w:val="20"/>
                <w:szCs w:val="20"/>
                <w:lang/>
              </w:rPr>
              <w:t>76.84</w:t>
            </w:r>
          </w:p>
        </w:tc>
        <w:tc>
          <w:tcPr>
            <w:tcW w:w="1757" w:type="dxa"/>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widowControl/>
              <w:jc w:val="left"/>
              <w:textAlignment w:val="center"/>
              <w:rPr>
                <w:rFonts w:ascii="Calibri" w:hAnsi="Calibri" w:cs="Calibri"/>
                <w:b/>
                <w:color w:val="000000"/>
                <w:sz w:val="20"/>
                <w:szCs w:val="20"/>
              </w:rPr>
            </w:pPr>
            <w:r>
              <w:rPr>
                <w:rFonts w:ascii="Calibri" w:hAnsi="Calibri" w:cs="Calibri"/>
                <w:b/>
                <w:color w:val="000000"/>
                <w:kern w:val="0"/>
                <w:sz w:val="20"/>
                <w:szCs w:val="20"/>
                <w:lang/>
              </w:rPr>
              <w:t>本校本科平均</w:t>
            </w:r>
          </w:p>
        </w:tc>
        <w:tc>
          <w:tcPr>
            <w:tcW w:w="2024" w:type="dxa"/>
            <w:tcBorders>
              <w:top w:val="single" w:sz="12" w:space="0" w:color="FFFFFF"/>
              <w:left w:val="single" w:sz="12" w:space="0" w:color="FFFFFF"/>
              <w:bottom w:val="single" w:sz="12" w:space="0" w:color="FFFFFF"/>
              <w:right w:val="single" w:sz="12" w:space="0" w:color="FFFFFF"/>
            </w:tcBorders>
            <w:shd w:val="clear" w:color="auto" w:fill="F6F8FC"/>
            <w:vAlign w:val="center"/>
          </w:tcPr>
          <w:p w:rsidR="00000000" w:rsidRDefault="009A1129">
            <w:pPr>
              <w:widowControl/>
              <w:jc w:val="center"/>
              <w:textAlignment w:val="center"/>
              <w:rPr>
                <w:rFonts w:ascii="Calibri" w:hAnsi="Calibri" w:cs="Calibri"/>
                <w:b/>
                <w:color w:val="000000"/>
                <w:sz w:val="20"/>
                <w:szCs w:val="20"/>
              </w:rPr>
            </w:pPr>
            <w:r>
              <w:rPr>
                <w:rFonts w:ascii="Calibri" w:hAnsi="Calibri" w:cs="Calibri"/>
                <w:b/>
                <w:color w:val="000000"/>
                <w:kern w:val="0"/>
                <w:sz w:val="20"/>
                <w:szCs w:val="20"/>
                <w:lang/>
              </w:rPr>
              <w:t>76.8</w:t>
            </w:r>
            <w:r>
              <w:rPr>
                <w:rFonts w:ascii="Calibri" w:hAnsi="Calibri" w:cs="Calibri"/>
                <w:b/>
                <w:color w:val="000000"/>
                <w:kern w:val="0"/>
                <w:sz w:val="20"/>
                <w:szCs w:val="20"/>
                <w:lang/>
              </w:rPr>
              <w:t>4</w:t>
            </w:r>
          </w:p>
        </w:tc>
      </w:tr>
    </w:tbl>
    <w:p w:rsidR="00000000" w:rsidRDefault="009A1129">
      <w:pPr>
        <w:jc w:val="right"/>
        <w:rPr>
          <w:b/>
          <w:sz w:val="18"/>
          <w:szCs w:val="18"/>
        </w:rPr>
      </w:pPr>
    </w:p>
    <w:p w:rsidR="00000000" w:rsidRDefault="009A1129">
      <w:pPr>
        <w:jc w:val="center"/>
        <w:rPr>
          <w:rFonts w:ascii="楷体_GB2312" w:eastAsia="楷体_GB2312" w:hAnsi="楷体_GB2312" w:cs="楷体_GB2312" w:hint="eastAsia"/>
          <w:sz w:val="28"/>
          <w:szCs w:val="28"/>
        </w:rPr>
      </w:pPr>
      <w:r>
        <w:rPr>
          <w:rFonts w:ascii="楷体_GB2312" w:eastAsia="楷体_GB2312" w:hAnsi="楷体_GB2312" w:cs="楷体_GB2312" w:hint="eastAsia"/>
          <w:sz w:val="28"/>
          <w:szCs w:val="28"/>
        </w:rPr>
        <w:t>表</w:t>
      </w:r>
      <w:r>
        <w:rPr>
          <w:rFonts w:ascii="楷体_GB2312" w:eastAsia="楷体_GB2312" w:hAnsi="楷体_GB2312" w:cs="楷体_GB2312" w:hint="eastAsia"/>
          <w:sz w:val="28"/>
          <w:szCs w:val="28"/>
        </w:rPr>
        <w:t xml:space="preserve"> 3-2  </w:t>
      </w:r>
      <w:r>
        <w:rPr>
          <w:rFonts w:ascii="楷体_GB2312" w:eastAsia="楷体_GB2312" w:hAnsi="楷体_GB2312" w:cs="楷体_GB2312" w:hint="eastAsia"/>
          <w:sz w:val="28"/>
          <w:szCs w:val="28"/>
        </w:rPr>
        <w:t>201</w:t>
      </w:r>
      <w:r>
        <w:rPr>
          <w:rFonts w:ascii="楷体_GB2312" w:eastAsia="楷体_GB2312" w:hAnsi="楷体_GB2312" w:cs="楷体_GB2312" w:hint="eastAsia"/>
          <w:sz w:val="28"/>
          <w:szCs w:val="28"/>
        </w:rPr>
        <w:t>7</w:t>
      </w:r>
      <w:r>
        <w:rPr>
          <w:rFonts w:ascii="楷体_GB2312" w:eastAsia="楷体_GB2312" w:hAnsi="楷体_GB2312" w:cs="楷体_GB2312" w:hint="eastAsia"/>
          <w:sz w:val="28"/>
          <w:szCs w:val="28"/>
        </w:rPr>
        <w:t>届毕业生</w:t>
      </w:r>
      <w:r>
        <w:rPr>
          <w:rFonts w:ascii="楷体_GB2312" w:eastAsia="楷体_GB2312" w:hAnsi="楷体_GB2312" w:cs="楷体_GB2312" w:hint="eastAsia"/>
          <w:sz w:val="28"/>
          <w:szCs w:val="28"/>
        </w:rPr>
        <w:t>职业期待吻合度</w:t>
      </w:r>
    </w:p>
    <w:p w:rsidR="00000000" w:rsidRDefault="009A1129">
      <w:pPr>
        <w:jc w:val="right"/>
        <w:rPr>
          <w:rFonts w:hint="eastAsia"/>
          <w:b/>
          <w:sz w:val="18"/>
          <w:szCs w:val="18"/>
        </w:rPr>
      </w:pPr>
      <w:r>
        <w:rPr>
          <w:b/>
          <w:sz w:val="18"/>
          <w:szCs w:val="18"/>
        </w:rPr>
        <w:t>单位</w:t>
      </w:r>
      <w:r>
        <w:rPr>
          <w:rFonts w:hint="eastAsia"/>
          <w:b/>
          <w:sz w:val="18"/>
          <w:szCs w:val="18"/>
        </w:rPr>
        <w:t>：</w:t>
      </w:r>
      <w:r>
        <w:rPr>
          <w:b/>
          <w:sz w:val="18"/>
          <w:szCs w:val="18"/>
        </w:rPr>
        <w:t>%</w:t>
      </w:r>
    </w:p>
    <w:tbl>
      <w:tblPr>
        <w:tblW w:w="0" w:type="auto"/>
        <w:tblInd w:w="0" w:type="dxa"/>
        <w:tblLayout w:type="fixed"/>
        <w:tblLook w:val="0000"/>
      </w:tblPr>
      <w:tblGrid>
        <w:gridCol w:w="2222"/>
        <w:gridCol w:w="2222"/>
        <w:gridCol w:w="2223"/>
        <w:gridCol w:w="2223"/>
      </w:tblGrid>
      <w:tr w:rsidR="00000000">
        <w:trPr>
          <w:trHeight w:val="285"/>
          <w:tblHeader/>
        </w:trPr>
        <w:tc>
          <w:tcPr>
            <w:tcW w:w="2222" w:type="dxa"/>
            <w:tcBorders>
              <w:top w:val="single" w:sz="8" w:space="0" w:color="FFFFFF"/>
              <w:left w:val="single" w:sz="8" w:space="0" w:color="FFFFFF"/>
              <w:bottom w:val="nil"/>
              <w:right w:val="single" w:sz="8" w:space="0" w:color="FFFFFF"/>
            </w:tcBorders>
            <w:shd w:val="clear" w:color="000000" w:fill="8DB3E2"/>
            <w:vAlign w:val="center"/>
          </w:tcPr>
          <w:p w:rsidR="00000000" w:rsidRDefault="009A1129">
            <w:pPr>
              <w:widowControl/>
              <w:spacing w:line="320" w:lineRule="exact"/>
              <w:jc w:val="center"/>
              <w:rPr>
                <w:rFonts w:ascii="Calibri" w:hAnsi="Calibri"/>
                <w:b/>
                <w:bCs/>
                <w:color w:val="000000"/>
                <w:kern w:val="0"/>
                <w:sz w:val="20"/>
                <w:szCs w:val="20"/>
              </w:rPr>
            </w:pPr>
            <w:bookmarkStart w:id="2" w:name="分院系（专业）2017届本科生的职业期待吻合度"/>
            <w:bookmarkEnd w:id="2"/>
            <w:r>
              <w:rPr>
                <w:rFonts w:ascii="Calibri" w:hAnsi="Calibri"/>
                <w:b/>
                <w:bCs/>
                <w:color w:val="000000"/>
                <w:sz w:val="20"/>
                <w:szCs w:val="20"/>
              </w:rPr>
              <w:t>院系名称</w:t>
            </w:r>
          </w:p>
        </w:tc>
        <w:tc>
          <w:tcPr>
            <w:tcW w:w="2222" w:type="dxa"/>
            <w:tcBorders>
              <w:top w:val="single" w:sz="8" w:space="0" w:color="FFFFFF"/>
              <w:left w:val="nil"/>
              <w:bottom w:val="nil"/>
              <w:right w:val="single" w:sz="8" w:space="0" w:color="FFFFFF"/>
            </w:tcBorders>
            <w:shd w:val="clear" w:color="000000" w:fill="8DB3E2"/>
            <w:vAlign w:val="center"/>
          </w:tcPr>
          <w:p w:rsidR="00000000" w:rsidRDefault="009A1129">
            <w:pPr>
              <w:spacing w:line="320" w:lineRule="exact"/>
              <w:jc w:val="center"/>
              <w:rPr>
                <w:rFonts w:ascii="Calibri" w:hAnsi="Calibri"/>
                <w:b/>
                <w:bCs/>
                <w:color w:val="000000"/>
                <w:sz w:val="20"/>
                <w:szCs w:val="20"/>
              </w:rPr>
            </w:pPr>
            <w:r>
              <w:rPr>
                <w:rFonts w:ascii="Calibri" w:hAnsi="Calibri"/>
                <w:b/>
                <w:bCs/>
                <w:color w:val="000000"/>
                <w:sz w:val="20"/>
                <w:szCs w:val="20"/>
              </w:rPr>
              <w:t>各院系职业期待吻合度</w:t>
            </w:r>
          </w:p>
        </w:tc>
        <w:tc>
          <w:tcPr>
            <w:tcW w:w="2223" w:type="dxa"/>
            <w:tcBorders>
              <w:top w:val="single" w:sz="8" w:space="0" w:color="FFFFFF"/>
              <w:left w:val="nil"/>
              <w:bottom w:val="nil"/>
              <w:right w:val="single" w:sz="8" w:space="0" w:color="FFFFFF"/>
            </w:tcBorders>
            <w:shd w:val="clear" w:color="000000" w:fill="8DB3E2"/>
            <w:vAlign w:val="center"/>
          </w:tcPr>
          <w:p w:rsidR="00000000" w:rsidRDefault="009A1129">
            <w:pPr>
              <w:spacing w:line="320" w:lineRule="exact"/>
              <w:jc w:val="center"/>
              <w:rPr>
                <w:rFonts w:ascii="Calibri" w:hAnsi="Calibri"/>
                <w:b/>
                <w:bCs/>
                <w:color w:val="000000"/>
                <w:sz w:val="20"/>
                <w:szCs w:val="20"/>
              </w:rPr>
            </w:pPr>
            <w:r>
              <w:rPr>
                <w:rFonts w:ascii="Calibri" w:hAnsi="Calibri"/>
                <w:b/>
                <w:bCs/>
                <w:color w:val="000000"/>
                <w:sz w:val="20"/>
                <w:szCs w:val="20"/>
              </w:rPr>
              <w:t>专业名称</w:t>
            </w:r>
          </w:p>
        </w:tc>
        <w:tc>
          <w:tcPr>
            <w:tcW w:w="2223" w:type="dxa"/>
            <w:tcBorders>
              <w:top w:val="single" w:sz="8" w:space="0" w:color="FFFFFF"/>
              <w:left w:val="nil"/>
              <w:bottom w:val="nil"/>
              <w:right w:val="single" w:sz="8" w:space="0" w:color="FFFFFF"/>
            </w:tcBorders>
            <w:shd w:val="clear" w:color="000000" w:fill="8DB3E2"/>
            <w:vAlign w:val="center"/>
          </w:tcPr>
          <w:p w:rsidR="00000000" w:rsidRDefault="009A1129">
            <w:pPr>
              <w:spacing w:line="320" w:lineRule="exact"/>
              <w:jc w:val="center"/>
              <w:rPr>
                <w:rFonts w:ascii="Calibri" w:hAnsi="Calibri"/>
                <w:b/>
                <w:bCs/>
                <w:color w:val="000000"/>
                <w:sz w:val="20"/>
                <w:szCs w:val="20"/>
              </w:rPr>
            </w:pPr>
            <w:r>
              <w:rPr>
                <w:rFonts w:ascii="Calibri" w:hAnsi="Calibri"/>
                <w:b/>
                <w:bCs/>
                <w:color w:val="000000"/>
                <w:sz w:val="20"/>
                <w:szCs w:val="20"/>
              </w:rPr>
              <w:t>各专业职业期待吻合度</w:t>
            </w:r>
          </w:p>
        </w:tc>
      </w:tr>
      <w:tr w:rsidR="00000000">
        <w:trPr>
          <w:trHeight w:val="285"/>
        </w:trPr>
        <w:tc>
          <w:tcPr>
            <w:tcW w:w="2222" w:type="dxa"/>
            <w:vMerge w:val="restart"/>
            <w:tcBorders>
              <w:top w:val="single" w:sz="8" w:space="0" w:color="FFFFFF"/>
              <w:left w:val="single" w:sz="8" w:space="0" w:color="FFFFFF"/>
              <w:bottom w:val="single" w:sz="8" w:space="0" w:color="FFFFFF"/>
              <w:right w:val="single" w:sz="8" w:space="0" w:color="FFFFFF"/>
            </w:tcBorders>
            <w:shd w:val="clear" w:color="000000" w:fill="F6F8FC"/>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经济与管理学部</w:t>
            </w:r>
          </w:p>
        </w:tc>
        <w:tc>
          <w:tcPr>
            <w:tcW w:w="2222" w:type="dxa"/>
            <w:vMerge w:val="restart"/>
            <w:tcBorders>
              <w:top w:val="single" w:sz="8" w:space="0" w:color="FFFFFF"/>
              <w:left w:val="single" w:sz="8" w:space="0" w:color="FFFFFF"/>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82.61</w:t>
            </w:r>
          </w:p>
        </w:tc>
        <w:tc>
          <w:tcPr>
            <w:tcW w:w="2223" w:type="dxa"/>
            <w:tcBorders>
              <w:top w:val="single" w:sz="8" w:space="0" w:color="FFFFFF"/>
              <w:left w:val="nil"/>
              <w:bottom w:val="single" w:sz="8" w:space="0" w:color="FFFFFF"/>
              <w:right w:val="single" w:sz="8" w:space="0" w:color="FFFFFF"/>
            </w:tcBorders>
            <w:shd w:val="clear" w:color="000000" w:fill="F6F8FC"/>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国际经济与贸易</w:t>
            </w:r>
          </w:p>
        </w:tc>
        <w:tc>
          <w:tcPr>
            <w:tcW w:w="2223" w:type="dxa"/>
            <w:tcBorders>
              <w:top w:val="single" w:sz="8" w:space="0" w:color="FFFFFF"/>
              <w:left w:val="nil"/>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88.46</w:t>
            </w:r>
          </w:p>
        </w:tc>
      </w:tr>
      <w:tr w:rsidR="00000000">
        <w:trPr>
          <w:trHeight w:val="285"/>
        </w:trPr>
        <w:tc>
          <w:tcPr>
            <w:tcW w:w="2222" w:type="dxa"/>
            <w:vMerge/>
            <w:tcBorders>
              <w:top w:val="single" w:sz="8" w:space="0" w:color="FFFFFF"/>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222" w:type="dxa"/>
            <w:vMerge/>
            <w:tcBorders>
              <w:top w:val="single" w:sz="8" w:space="0" w:color="FFFFFF"/>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223"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市场营销</w:t>
            </w:r>
          </w:p>
        </w:tc>
        <w:tc>
          <w:tcPr>
            <w:tcW w:w="2223"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86.21</w:t>
            </w:r>
          </w:p>
        </w:tc>
      </w:tr>
      <w:tr w:rsidR="00000000">
        <w:trPr>
          <w:trHeight w:val="285"/>
        </w:trPr>
        <w:tc>
          <w:tcPr>
            <w:tcW w:w="2222" w:type="dxa"/>
            <w:vMerge/>
            <w:tcBorders>
              <w:top w:val="single" w:sz="8" w:space="0" w:color="FFFFFF"/>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222" w:type="dxa"/>
            <w:vMerge/>
            <w:tcBorders>
              <w:top w:val="single" w:sz="8" w:space="0" w:color="FFFFFF"/>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223"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行政管理</w:t>
            </w:r>
          </w:p>
        </w:tc>
        <w:tc>
          <w:tcPr>
            <w:tcW w:w="2223"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85.71</w:t>
            </w:r>
          </w:p>
        </w:tc>
      </w:tr>
      <w:tr w:rsidR="00000000">
        <w:trPr>
          <w:trHeight w:val="285"/>
        </w:trPr>
        <w:tc>
          <w:tcPr>
            <w:tcW w:w="2222" w:type="dxa"/>
            <w:vMerge/>
            <w:tcBorders>
              <w:top w:val="single" w:sz="8" w:space="0" w:color="FFFFFF"/>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222" w:type="dxa"/>
            <w:vMerge/>
            <w:tcBorders>
              <w:top w:val="single" w:sz="8" w:space="0" w:color="FFFFFF"/>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223"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会计学</w:t>
            </w:r>
          </w:p>
        </w:tc>
        <w:tc>
          <w:tcPr>
            <w:tcW w:w="2223"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81.08</w:t>
            </w:r>
          </w:p>
        </w:tc>
      </w:tr>
      <w:tr w:rsidR="00000000">
        <w:trPr>
          <w:trHeight w:val="285"/>
        </w:trPr>
        <w:tc>
          <w:tcPr>
            <w:tcW w:w="2222" w:type="dxa"/>
            <w:vMerge/>
            <w:tcBorders>
              <w:top w:val="single" w:sz="8" w:space="0" w:color="FFFFFF"/>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222" w:type="dxa"/>
            <w:vMerge/>
            <w:tcBorders>
              <w:top w:val="single" w:sz="8" w:space="0" w:color="FFFFFF"/>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223"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城市管理</w:t>
            </w:r>
          </w:p>
        </w:tc>
        <w:tc>
          <w:tcPr>
            <w:tcW w:w="2223"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70.59</w:t>
            </w:r>
          </w:p>
        </w:tc>
      </w:tr>
      <w:tr w:rsidR="00000000">
        <w:trPr>
          <w:trHeight w:val="285"/>
        </w:trPr>
        <w:tc>
          <w:tcPr>
            <w:tcW w:w="2222" w:type="dxa"/>
            <w:tcBorders>
              <w:top w:val="nil"/>
              <w:left w:val="single" w:sz="8" w:space="0" w:color="FFFFFF"/>
              <w:bottom w:val="single" w:sz="8" w:space="0" w:color="FFFFFF"/>
              <w:right w:val="single" w:sz="8" w:space="0" w:color="FFFFFF"/>
            </w:tcBorders>
            <w:shd w:val="clear" w:color="000000" w:fill="C5D5E9"/>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信息科学部</w:t>
            </w:r>
          </w:p>
        </w:tc>
        <w:tc>
          <w:tcPr>
            <w:tcW w:w="2222"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82.09</w:t>
            </w:r>
          </w:p>
        </w:tc>
        <w:tc>
          <w:tcPr>
            <w:tcW w:w="2223"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自动化</w:t>
            </w:r>
          </w:p>
        </w:tc>
        <w:tc>
          <w:tcPr>
            <w:tcW w:w="2223"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77.78</w:t>
            </w:r>
          </w:p>
        </w:tc>
      </w:tr>
      <w:tr w:rsidR="00000000">
        <w:trPr>
          <w:trHeight w:val="285"/>
        </w:trPr>
        <w:tc>
          <w:tcPr>
            <w:tcW w:w="2222" w:type="dxa"/>
            <w:vMerge w:val="restart"/>
            <w:tcBorders>
              <w:top w:val="nil"/>
              <w:left w:val="single" w:sz="8" w:space="0" w:color="FFFFFF"/>
              <w:bottom w:val="single" w:sz="8" w:space="0" w:color="FFFFFF"/>
              <w:right w:val="single" w:sz="8" w:space="0" w:color="FFFFFF"/>
            </w:tcBorders>
            <w:shd w:val="clear" w:color="000000" w:fill="F6F8FC"/>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医学部（五）</w:t>
            </w:r>
          </w:p>
        </w:tc>
        <w:tc>
          <w:tcPr>
            <w:tcW w:w="2222" w:type="dxa"/>
            <w:vMerge w:val="restart"/>
            <w:tcBorders>
              <w:top w:val="nil"/>
              <w:left w:val="single" w:sz="8" w:space="0" w:color="FFFFFF"/>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80.74</w:t>
            </w:r>
          </w:p>
        </w:tc>
        <w:tc>
          <w:tcPr>
            <w:tcW w:w="2223"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临床医学（全科医学）</w:t>
            </w:r>
          </w:p>
        </w:tc>
        <w:tc>
          <w:tcPr>
            <w:tcW w:w="2223"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81.54</w:t>
            </w:r>
          </w:p>
        </w:tc>
      </w:tr>
      <w:tr w:rsidR="00000000">
        <w:trPr>
          <w:trHeight w:val="285"/>
        </w:trPr>
        <w:tc>
          <w:tcPr>
            <w:tcW w:w="2222"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222"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223"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临床医学</w:t>
            </w:r>
          </w:p>
        </w:tc>
        <w:tc>
          <w:tcPr>
            <w:tcW w:w="2223"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80.52</w:t>
            </w:r>
          </w:p>
        </w:tc>
      </w:tr>
      <w:tr w:rsidR="00000000">
        <w:trPr>
          <w:trHeight w:val="285"/>
        </w:trPr>
        <w:tc>
          <w:tcPr>
            <w:tcW w:w="2222" w:type="dxa"/>
            <w:vMerge w:val="restart"/>
            <w:tcBorders>
              <w:top w:val="nil"/>
              <w:left w:val="single" w:sz="8" w:space="0" w:color="FFFFFF"/>
              <w:bottom w:val="single" w:sz="8" w:space="0" w:color="FFFFFF"/>
              <w:right w:val="single" w:sz="8" w:space="0" w:color="FFFFFF"/>
            </w:tcBorders>
            <w:shd w:val="clear" w:color="000000" w:fill="C5D5E9"/>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医学部</w:t>
            </w:r>
            <w:r>
              <w:rPr>
                <w:rFonts w:ascii="Calibri" w:hAnsi="Calibri"/>
                <w:color w:val="000000"/>
                <w:sz w:val="20"/>
                <w:szCs w:val="20"/>
              </w:rPr>
              <w:t>(</w:t>
            </w:r>
            <w:r>
              <w:rPr>
                <w:rFonts w:ascii="Calibri" w:hAnsi="Calibri"/>
                <w:color w:val="000000"/>
                <w:sz w:val="20"/>
                <w:szCs w:val="20"/>
              </w:rPr>
              <w:t>四）</w:t>
            </w:r>
          </w:p>
        </w:tc>
        <w:tc>
          <w:tcPr>
            <w:tcW w:w="2222" w:type="dxa"/>
            <w:vMerge w:val="restart"/>
            <w:tcBorders>
              <w:top w:val="nil"/>
              <w:left w:val="single" w:sz="8" w:space="0" w:color="FFFFFF"/>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75.51</w:t>
            </w:r>
          </w:p>
        </w:tc>
        <w:tc>
          <w:tcPr>
            <w:tcW w:w="2223"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护理学</w:t>
            </w:r>
          </w:p>
        </w:tc>
        <w:tc>
          <w:tcPr>
            <w:tcW w:w="2223"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78.18</w:t>
            </w:r>
          </w:p>
        </w:tc>
      </w:tr>
      <w:tr w:rsidR="00000000">
        <w:trPr>
          <w:trHeight w:val="285"/>
        </w:trPr>
        <w:tc>
          <w:tcPr>
            <w:tcW w:w="2222"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222"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223"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医学影像技术</w:t>
            </w:r>
          </w:p>
        </w:tc>
        <w:tc>
          <w:tcPr>
            <w:tcW w:w="2223"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78.13</w:t>
            </w:r>
          </w:p>
        </w:tc>
      </w:tr>
      <w:tr w:rsidR="00000000">
        <w:trPr>
          <w:trHeight w:val="285"/>
        </w:trPr>
        <w:tc>
          <w:tcPr>
            <w:tcW w:w="2222"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222"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223"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医学检验技术</w:t>
            </w:r>
          </w:p>
        </w:tc>
        <w:tc>
          <w:tcPr>
            <w:tcW w:w="2223"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67.44</w:t>
            </w:r>
          </w:p>
        </w:tc>
      </w:tr>
      <w:tr w:rsidR="00000000">
        <w:trPr>
          <w:trHeight w:val="285"/>
        </w:trPr>
        <w:tc>
          <w:tcPr>
            <w:tcW w:w="2222" w:type="dxa"/>
            <w:vMerge w:val="restart"/>
            <w:tcBorders>
              <w:top w:val="nil"/>
              <w:left w:val="single" w:sz="8" w:space="0" w:color="FFFFFF"/>
              <w:bottom w:val="single" w:sz="8" w:space="0" w:color="FFFFFF"/>
              <w:right w:val="single" w:sz="8" w:space="0" w:color="FFFFFF"/>
            </w:tcBorders>
            <w:shd w:val="clear" w:color="000000" w:fill="F6F8FC"/>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人文学部</w:t>
            </w:r>
          </w:p>
        </w:tc>
        <w:tc>
          <w:tcPr>
            <w:tcW w:w="2222" w:type="dxa"/>
            <w:vMerge w:val="restart"/>
            <w:tcBorders>
              <w:top w:val="nil"/>
              <w:left w:val="single" w:sz="8" w:space="0" w:color="FFFFFF"/>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70.83</w:t>
            </w:r>
          </w:p>
        </w:tc>
        <w:tc>
          <w:tcPr>
            <w:tcW w:w="2223"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动画</w:t>
            </w:r>
          </w:p>
        </w:tc>
        <w:tc>
          <w:tcPr>
            <w:tcW w:w="2223"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82.35</w:t>
            </w:r>
          </w:p>
        </w:tc>
      </w:tr>
      <w:tr w:rsidR="00000000">
        <w:trPr>
          <w:trHeight w:val="285"/>
        </w:trPr>
        <w:tc>
          <w:tcPr>
            <w:tcW w:w="2222"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222"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223"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环境设计</w:t>
            </w:r>
          </w:p>
        </w:tc>
        <w:tc>
          <w:tcPr>
            <w:tcW w:w="2223"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75.00</w:t>
            </w:r>
          </w:p>
        </w:tc>
      </w:tr>
      <w:tr w:rsidR="00000000">
        <w:trPr>
          <w:trHeight w:val="285"/>
        </w:trPr>
        <w:tc>
          <w:tcPr>
            <w:tcW w:w="2222"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222"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223"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视觉传达设计</w:t>
            </w:r>
          </w:p>
        </w:tc>
        <w:tc>
          <w:tcPr>
            <w:tcW w:w="2223"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73.68</w:t>
            </w:r>
          </w:p>
        </w:tc>
      </w:tr>
      <w:tr w:rsidR="00000000">
        <w:trPr>
          <w:trHeight w:val="285"/>
        </w:trPr>
        <w:tc>
          <w:tcPr>
            <w:tcW w:w="2222"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222"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223"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英语</w:t>
            </w:r>
          </w:p>
        </w:tc>
        <w:tc>
          <w:tcPr>
            <w:tcW w:w="2223"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68.97</w:t>
            </w:r>
          </w:p>
        </w:tc>
      </w:tr>
      <w:tr w:rsidR="00000000">
        <w:trPr>
          <w:trHeight w:val="285"/>
        </w:trPr>
        <w:tc>
          <w:tcPr>
            <w:tcW w:w="2222"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222"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223"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日语</w:t>
            </w:r>
          </w:p>
        </w:tc>
        <w:tc>
          <w:tcPr>
            <w:tcW w:w="2223"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67.86</w:t>
            </w:r>
          </w:p>
        </w:tc>
      </w:tr>
      <w:tr w:rsidR="00000000">
        <w:trPr>
          <w:trHeight w:val="285"/>
        </w:trPr>
        <w:tc>
          <w:tcPr>
            <w:tcW w:w="2222"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222"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223"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汉语言文学</w:t>
            </w:r>
          </w:p>
        </w:tc>
        <w:tc>
          <w:tcPr>
            <w:tcW w:w="2223"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61.54</w:t>
            </w:r>
          </w:p>
        </w:tc>
      </w:tr>
      <w:tr w:rsidR="00000000">
        <w:trPr>
          <w:trHeight w:val="285"/>
        </w:trPr>
        <w:tc>
          <w:tcPr>
            <w:tcW w:w="2222" w:type="dxa"/>
            <w:vMerge w:val="restart"/>
            <w:tcBorders>
              <w:top w:val="nil"/>
              <w:left w:val="single" w:sz="8" w:space="0" w:color="FFFFFF"/>
              <w:bottom w:val="single" w:sz="8" w:space="0" w:color="FFFFFF"/>
              <w:right w:val="single" w:sz="8" w:space="0" w:color="FFFFFF"/>
            </w:tcBorders>
            <w:shd w:val="clear" w:color="000000" w:fill="C5D5E9"/>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理学部</w:t>
            </w:r>
          </w:p>
        </w:tc>
        <w:tc>
          <w:tcPr>
            <w:tcW w:w="2222" w:type="dxa"/>
            <w:vMerge w:val="restart"/>
            <w:tcBorders>
              <w:top w:val="nil"/>
              <w:left w:val="single" w:sz="8" w:space="0" w:color="FFFFFF"/>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69.32</w:t>
            </w:r>
          </w:p>
        </w:tc>
        <w:tc>
          <w:tcPr>
            <w:tcW w:w="2223"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应用心理学</w:t>
            </w:r>
          </w:p>
        </w:tc>
        <w:tc>
          <w:tcPr>
            <w:tcW w:w="2223"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79.17</w:t>
            </w:r>
          </w:p>
        </w:tc>
      </w:tr>
      <w:tr w:rsidR="00000000">
        <w:trPr>
          <w:trHeight w:val="285"/>
        </w:trPr>
        <w:tc>
          <w:tcPr>
            <w:tcW w:w="2222"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222"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223"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应用统计学</w:t>
            </w:r>
          </w:p>
        </w:tc>
        <w:tc>
          <w:tcPr>
            <w:tcW w:w="2223"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64.52</w:t>
            </w:r>
          </w:p>
        </w:tc>
      </w:tr>
      <w:tr w:rsidR="00000000">
        <w:trPr>
          <w:trHeight w:val="285"/>
        </w:trPr>
        <w:tc>
          <w:tcPr>
            <w:tcW w:w="2222" w:type="dxa"/>
            <w:vMerge w:val="restart"/>
            <w:tcBorders>
              <w:top w:val="nil"/>
              <w:left w:val="single" w:sz="8" w:space="0" w:color="FFFFFF"/>
              <w:bottom w:val="single" w:sz="8" w:space="0" w:color="FFFFFF"/>
              <w:right w:val="single" w:sz="8" w:space="0" w:color="FFFFFF"/>
            </w:tcBorders>
            <w:shd w:val="clear" w:color="000000" w:fill="F6F8FC"/>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工程学部</w:t>
            </w:r>
          </w:p>
        </w:tc>
        <w:tc>
          <w:tcPr>
            <w:tcW w:w="2222" w:type="dxa"/>
            <w:vMerge w:val="restart"/>
            <w:tcBorders>
              <w:top w:val="nil"/>
              <w:left w:val="single" w:sz="8" w:space="0" w:color="FFFFFF"/>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67.63</w:t>
            </w:r>
          </w:p>
        </w:tc>
        <w:tc>
          <w:tcPr>
            <w:tcW w:w="2223"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土木工程</w:t>
            </w:r>
          </w:p>
        </w:tc>
        <w:tc>
          <w:tcPr>
            <w:tcW w:w="2223"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70.73</w:t>
            </w:r>
          </w:p>
        </w:tc>
      </w:tr>
      <w:tr w:rsidR="00000000">
        <w:trPr>
          <w:trHeight w:val="285"/>
        </w:trPr>
        <w:tc>
          <w:tcPr>
            <w:tcW w:w="2222"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222"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223"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工程管理</w:t>
            </w:r>
          </w:p>
        </w:tc>
        <w:tc>
          <w:tcPr>
            <w:tcW w:w="2223"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68.97</w:t>
            </w:r>
          </w:p>
        </w:tc>
      </w:tr>
      <w:tr w:rsidR="00000000">
        <w:trPr>
          <w:trHeight w:val="285"/>
        </w:trPr>
        <w:tc>
          <w:tcPr>
            <w:tcW w:w="2222"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222"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223"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服装与服饰设计</w:t>
            </w:r>
          </w:p>
        </w:tc>
        <w:tc>
          <w:tcPr>
            <w:tcW w:w="2223"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68.89</w:t>
            </w:r>
          </w:p>
        </w:tc>
      </w:tr>
      <w:tr w:rsidR="00000000">
        <w:trPr>
          <w:trHeight w:val="285"/>
        </w:trPr>
        <w:tc>
          <w:tcPr>
            <w:tcW w:w="2222"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222"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223"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化学工程与工艺</w:t>
            </w:r>
          </w:p>
        </w:tc>
        <w:tc>
          <w:tcPr>
            <w:tcW w:w="2223"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68.42</w:t>
            </w:r>
          </w:p>
        </w:tc>
      </w:tr>
      <w:tr w:rsidR="00000000">
        <w:trPr>
          <w:trHeight w:val="285"/>
        </w:trPr>
        <w:tc>
          <w:tcPr>
            <w:tcW w:w="2222"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222"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223"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纺织工程</w:t>
            </w:r>
          </w:p>
        </w:tc>
        <w:tc>
          <w:tcPr>
            <w:tcW w:w="2223"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66.67</w:t>
            </w:r>
          </w:p>
        </w:tc>
      </w:tr>
      <w:tr w:rsidR="00000000">
        <w:trPr>
          <w:trHeight w:val="285"/>
        </w:trPr>
        <w:tc>
          <w:tcPr>
            <w:tcW w:w="2222"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222"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223"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机械工程</w:t>
            </w:r>
          </w:p>
        </w:tc>
        <w:tc>
          <w:tcPr>
            <w:tcW w:w="2223"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65.63</w:t>
            </w:r>
          </w:p>
        </w:tc>
      </w:tr>
      <w:tr w:rsidR="00000000">
        <w:trPr>
          <w:trHeight w:val="285"/>
        </w:trPr>
        <w:tc>
          <w:tcPr>
            <w:tcW w:w="2222"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222"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223"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服装设计与工程</w:t>
            </w:r>
          </w:p>
        </w:tc>
        <w:tc>
          <w:tcPr>
            <w:tcW w:w="2223"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65</w:t>
            </w:r>
            <w:r>
              <w:rPr>
                <w:rFonts w:ascii="Calibri" w:hAnsi="Calibri"/>
                <w:color w:val="000000"/>
                <w:sz w:val="20"/>
                <w:szCs w:val="20"/>
              </w:rPr>
              <w:t>.52</w:t>
            </w:r>
          </w:p>
        </w:tc>
      </w:tr>
      <w:tr w:rsidR="00000000">
        <w:trPr>
          <w:trHeight w:val="285"/>
        </w:trPr>
        <w:tc>
          <w:tcPr>
            <w:tcW w:w="2222" w:type="dxa"/>
            <w:tcBorders>
              <w:top w:val="nil"/>
              <w:left w:val="single" w:sz="8" w:space="0" w:color="FFFFFF"/>
              <w:bottom w:val="single" w:sz="8" w:space="0" w:color="FFFFFF"/>
              <w:right w:val="single" w:sz="8" w:space="0" w:color="FFFFFF"/>
            </w:tcBorders>
            <w:shd w:val="clear" w:color="000000" w:fill="C5D5E9"/>
            <w:vAlign w:val="center"/>
          </w:tcPr>
          <w:p w:rsidR="00000000" w:rsidRDefault="009A1129">
            <w:pPr>
              <w:spacing w:line="320" w:lineRule="exact"/>
              <w:jc w:val="left"/>
              <w:rPr>
                <w:rFonts w:ascii="Calibri" w:hAnsi="Calibri"/>
                <w:b/>
                <w:bCs/>
                <w:color w:val="000000"/>
                <w:sz w:val="20"/>
                <w:szCs w:val="20"/>
              </w:rPr>
            </w:pPr>
            <w:r>
              <w:rPr>
                <w:rFonts w:ascii="Calibri" w:hAnsi="Calibri"/>
                <w:b/>
                <w:bCs/>
                <w:color w:val="000000"/>
                <w:sz w:val="20"/>
                <w:szCs w:val="20"/>
              </w:rPr>
              <w:t>本校本科平均</w:t>
            </w:r>
          </w:p>
        </w:tc>
        <w:tc>
          <w:tcPr>
            <w:tcW w:w="2222"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b/>
                <w:bCs/>
                <w:color w:val="000000"/>
                <w:sz w:val="20"/>
                <w:szCs w:val="20"/>
              </w:rPr>
            </w:pPr>
            <w:r>
              <w:rPr>
                <w:rFonts w:ascii="Calibri" w:hAnsi="Calibri"/>
                <w:b/>
                <w:bCs/>
                <w:color w:val="000000"/>
                <w:sz w:val="20"/>
                <w:szCs w:val="20"/>
              </w:rPr>
              <w:t>75.38</w:t>
            </w:r>
          </w:p>
        </w:tc>
        <w:tc>
          <w:tcPr>
            <w:tcW w:w="2223"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left"/>
              <w:rPr>
                <w:rFonts w:ascii="Calibri" w:hAnsi="Calibri"/>
                <w:b/>
                <w:bCs/>
                <w:color w:val="000000"/>
                <w:sz w:val="20"/>
                <w:szCs w:val="20"/>
              </w:rPr>
            </w:pPr>
            <w:r>
              <w:rPr>
                <w:rFonts w:ascii="Calibri" w:hAnsi="Calibri"/>
                <w:b/>
                <w:bCs/>
                <w:color w:val="000000"/>
                <w:sz w:val="20"/>
                <w:szCs w:val="20"/>
              </w:rPr>
              <w:t>本校本科平均</w:t>
            </w:r>
          </w:p>
        </w:tc>
        <w:tc>
          <w:tcPr>
            <w:tcW w:w="2223"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b/>
                <w:bCs/>
                <w:color w:val="000000"/>
                <w:sz w:val="20"/>
                <w:szCs w:val="20"/>
              </w:rPr>
            </w:pPr>
            <w:r>
              <w:rPr>
                <w:rFonts w:ascii="Calibri" w:hAnsi="Calibri"/>
                <w:b/>
                <w:bCs/>
                <w:color w:val="000000"/>
                <w:sz w:val="20"/>
                <w:szCs w:val="20"/>
              </w:rPr>
              <w:t>75.38</w:t>
            </w:r>
          </w:p>
        </w:tc>
      </w:tr>
    </w:tbl>
    <w:p w:rsidR="00000000" w:rsidRDefault="009A1129">
      <w:pPr>
        <w:spacing w:line="480" w:lineRule="auto"/>
        <w:jc w:val="left"/>
        <w:rPr>
          <w:rFonts w:ascii="楷体_GB2312" w:eastAsia="楷体_GB2312" w:hAnsi="楷体_GB2312" w:cs="楷体_GB2312" w:hint="eastAsia"/>
          <w:b/>
          <w:bCs/>
          <w:sz w:val="32"/>
          <w:szCs w:val="32"/>
        </w:rPr>
      </w:pPr>
    </w:p>
    <w:p w:rsidR="00000000" w:rsidRDefault="009A1129">
      <w:pPr>
        <w:spacing w:line="480" w:lineRule="auto"/>
        <w:jc w:val="left"/>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lastRenderedPageBreak/>
        <w:t>二、用人单位对毕业生的评价</w:t>
      </w:r>
    </w:p>
    <w:p w:rsidR="00000000" w:rsidRDefault="009A1129">
      <w:pPr>
        <w:spacing w:line="480" w:lineRule="auto"/>
        <w:jc w:val="left"/>
        <w:rPr>
          <w:rFonts w:ascii="楷体_GB2312" w:eastAsia="楷体_GB2312" w:hAnsi="楷体_GB2312" w:cs="楷体_GB2312"/>
          <w:b/>
          <w:sz w:val="32"/>
          <w:szCs w:val="32"/>
        </w:rPr>
      </w:pPr>
      <w:r>
        <w:rPr>
          <w:rFonts w:ascii="楷体_GB2312" w:eastAsia="楷体_GB2312" w:hAnsi="楷体_GB2312" w:cs="楷体_GB2312" w:hint="eastAsia"/>
          <w:b/>
          <w:sz w:val="32"/>
          <w:szCs w:val="32"/>
        </w:rPr>
        <w:t>（一）用人单位对我院毕业生的总体满意度</w:t>
      </w:r>
    </w:p>
    <w:p w:rsidR="00000000" w:rsidRDefault="009A1129">
      <w:pPr>
        <w:spacing w:line="480" w:lineRule="auto"/>
        <w:ind w:firstLineChars="200" w:firstLine="560"/>
        <w:rPr>
          <w:rFonts w:ascii="楷体_GB2312" w:eastAsia="楷体_GB2312" w:hAnsi="楷体_GB2312" w:cs="楷体_GB2312" w:hint="eastAsia"/>
          <w:sz w:val="28"/>
          <w:szCs w:val="28"/>
        </w:rPr>
      </w:pPr>
      <w:r>
        <w:rPr>
          <w:rFonts w:ascii="楷体_GB2312" w:eastAsia="楷体_GB2312" w:hAnsi="楷体_GB2312" w:cs="楷体_GB2312" w:hint="eastAsia"/>
          <w:sz w:val="28"/>
          <w:szCs w:val="28"/>
        </w:rPr>
        <w:t>调查发现，</w:t>
      </w:r>
      <w:r>
        <w:rPr>
          <w:rFonts w:ascii="楷体_GB2312" w:eastAsia="楷体_GB2312" w:hAnsi="楷体_GB2312" w:cs="楷体_GB2312" w:hint="eastAsia"/>
          <w:sz w:val="28"/>
          <w:szCs w:val="28"/>
        </w:rPr>
        <w:t>2017</w:t>
      </w:r>
      <w:r>
        <w:rPr>
          <w:rFonts w:ascii="楷体_GB2312" w:eastAsia="楷体_GB2312" w:hAnsi="楷体_GB2312" w:cs="楷体_GB2312" w:hint="eastAsia"/>
          <w:sz w:val="28"/>
          <w:szCs w:val="28"/>
        </w:rPr>
        <w:t>年用人单位对</w:t>
      </w:r>
      <w:r>
        <w:rPr>
          <w:rFonts w:ascii="楷体_GB2312" w:eastAsia="楷体_GB2312" w:hAnsi="楷体_GB2312" w:cs="楷体_GB2312" w:hint="eastAsia"/>
          <w:sz w:val="28"/>
          <w:szCs w:val="28"/>
        </w:rPr>
        <w:t>我院</w:t>
      </w:r>
      <w:r>
        <w:rPr>
          <w:rFonts w:ascii="楷体_GB2312" w:eastAsia="楷体_GB2312" w:hAnsi="楷体_GB2312" w:cs="楷体_GB2312" w:hint="eastAsia"/>
          <w:sz w:val="28"/>
          <w:szCs w:val="28"/>
        </w:rPr>
        <w:t>毕业生的总体满意度为</w:t>
      </w:r>
      <w:r>
        <w:rPr>
          <w:rFonts w:ascii="楷体_GB2312" w:eastAsia="楷体_GB2312" w:hAnsi="楷体_GB2312" w:cs="楷体_GB2312" w:hint="eastAsia"/>
          <w:sz w:val="28"/>
          <w:szCs w:val="28"/>
        </w:rPr>
        <w:t>90.00%</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可见我院毕业生得到用人单位的充分认可。</w:t>
      </w:r>
    </w:p>
    <w:p w:rsidR="00000000" w:rsidRDefault="009A1129">
      <w:pPr>
        <w:spacing w:line="480" w:lineRule="auto"/>
        <w:ind w:firstLineChars="200" w:firstLine="560"/>
        <w:rPr>
          <w:rFonts w:ascii="楷体_GB2312" w:eastAsia="楷体_GB2312" w:hAnsi="楷体_GB2312" w:cs="楷体_GB2312" w:hint="eastAsia"/>
          <w:sz w:val="28"/>
          <w:szCs w:val="28"/>
        </w:rPr>
      </w:pPr>
    </w:p>
    <w:p w:rsidR="00000000" w:rsidRDefault="009A1129">
      <w:pPr>
        <w:numPr>
          <w:ilvl w:val="0"/>
          <w:numId w:val="6"/>
        </w:numPr>
        <w:spacing w:line="480" w:lineRule="auto"/>
        <w:jc w:val="left"/>
        <w:rPr>
          <w:rFonts w:ascii="楷体_GB2312" w:eastAsia="楷体_GB2312" w:hAnsi="楷体_GB2312" w:cs="楷体_GB2312"/>
          <w:b/>
          <w:sz w:val="32"/>
          <w:szCs w:val="32"/>
        </w:rPr>
      </w:pPr>
      <w:r>
        <w:rPr>
          <w:rFonts w:ascii="楷体_GB2312" w:eastAsia="楷体_GB2312" w:hAnsi="楷体_GB2312" w:cs="楷体_GB2312" w:hint="eastAsia"/>
          <w:b/>
          <w:sz w:val="32"/>
          <w:szCs w:val="32"/>
        </w:rPr>
        <w:t>用人单位对我院毕业生</w:t>
      </w:r>
      <w:r>
        <w:rPr>
          <w:rFonts w:ascii="楷体_GB2312" w:eastAsia="楷体_GB2312" w:hAnsi="楷体_GB2312" w:cs="楷体_GB2312" w:hint="eastAsia"/>
          <w:b/>
          <w:sz w:val="32"/>
          <w:szCs w:val="32"/>
        </w:rPr>
        <w:t>知识</w:t>
      </w:r>
      <w:r>
        <w:rPr>
          <w:rFonts w:ascii="楷体_GB2312" w:eastAsia="楷体_GB2312" w:hAnsi="楷体_GB2312" w:cs="楷体_GB2312" w:hint="eastAsia"/>
          <w:b/>
          <w:sz w:val="32"/>
          <w:szCs w:val="32"/>
        </w:rPr>
        <w:t>的</w:t>
      </w:r>
      <w:r>
        <w:rPr>
          <w:rFonts w:ascii="楷体_GB2312" w:eastAsia="楷体_GB2312" w:hAnsi="楷体_GB2312" w:cs="楷体_GB2312" w:hint="eastAsia"/>
          <w:b/>
          <w:sz w:val="32"/>
          <w:szCs w:val="32"/>
        </w:rPr>
        <w:t>满意度</w:t>
      </w:r>
    </w:p>
    <w:p w:rsidR="00000000" w:rsidRDefault="009A1129">
      <w:pPr>
        <w:pStyle w:val="aa"/>
        <w:rPr>
          <w:rFonts w:ascii="楷体_GB2312" w:eastAsia="楷体_GB2312" w:hAnsi="楷体_GB2312" w:cs="楷体_GB2312" w:hint="eastAsia"/>
          <w:sz w:val="28"/>
          <w:szCs w:val="28"/>
        </w:rPr>
      </w:pPr>
      <w:r>
        <w:rPr>
          <w:rFonts w:ascii="楷体_GB2312" w:eastAsia="楷体_GB2312" w:hAnsi="楷体_GB2312" w:cs="楷体_GB2312" w:hint="eastAsia"/>
          <w:bCs/>
          <w:sz w:val="32"/>
          <w:szCs w:val="32"/>
        </w:rPr>
        <w:t xml:space="preserve"> </w:t>
      </w:r>
      <w:r>
        <w:rPr>
          <w:rFonts w:ascii="楷体_GB2312" w:eastAsia="楷体_GB2312" w:hAnsi="楷体_GB2312" w:cs="楷体_GB2312" w:hint="eastAsia"/>
          <w:bCs/>
          <w:sz w:val="32"/>
          <w:szCs w:val="32"/>
        </w:rPr>
        <w:t xml:space="preserve">  </w:t>
      </w:r>
      <w:r>
        <w:rPr>
          <w:rFonts w:ascii="楷体_GB2312" w:eastAsia="楷体_GB2312" w:hAnsi="楷体_GB2312" w:cs="楷体_GB2312" w:hint="eastAsia"/>
          <w:sz w:val="28"/>
          <w:szCs w:val="28"/>
        </w:rPr>
        <w:t>2017</w:t>
      </w:r>
      <w:r>
        <w:rPr>
          <w:rFonts w:ascii="楷体_GB2312" w:eastAsia="楷体_GB2312" w:hAnsi="楷体_GB2312" w:cs="楷体_GB2312" w:hint="eastAsia"/>
          <w:sz w:val="28"/>
          <w:szCs w:val="28"/>
        </w:rPr>
        <w:t>年用人单位对</w:t>
      </w:r>
      <w:r>
        <w:rPr>
          <w:rFonts w:ascii="楷体_GB2312" w:eastAsia="楷体_GB2312" w:hAnsi="楷体_GB2312" w:cs="楷体_GB2312" w:hint="eastAsia"/>
          <w:sz w:val="28"/>
          <w:szCs w:val="28"/>
        </w:rPr>
        <w:t>我院</w:t>
      </w:r>
      <w:r>
        <w:rPr>
          <w:rFonts w:ascii="楷体_GB2312" w:eastAsia="楷体_GB2312" w:hAnsi="楷体_GB2312" w:cs="楷体_GB2312" w:hint="eastAsia"/>
          <w:sz w:val="28"/>
          <w:szCs w:val="28"/>
        </w:rPr>
        <w:t>毕业生知识满意度较高的是现代科技基础知识（</w:t>
      </w:r>
      <w:r>
        <w:rPr>
          <w:rFonts w:ascii="楷体_GB2312" w:eastAsia="楷体_GB2312" w:hAnsi="楷体_GB2312" w:cs="楷体_GB2312" w:hint="eastAsia"/>
          <w:sz w:val="28"/>
          <w:szCs w:val="28"/>
        </w:rPr>
        <w:t>93.75%</w:t>
      </w:r>
      <w:r>
        <w:rPr>
          <w:rFonts w:ascii="楷体_GB2312" w:eastAsia="楷体_GB2312" w:hAnsi="楷体_GB2312" w:cs="楷体_GB2312" w:hint="eastAsia"/>
          <w:sz w:val="28"/>
          <w:szCs w:val="28"/>
        </w:rPr>
        <w:t>），其次是社会人文知识（</w:t>
      </w:r>
      <w:r>
        <w:rPr>
          <w:rFonts w:ascii="楷体_GB2312" w:eastAsia="楷体_GB2312" w:hAnsi="楷体_GB2312" w:cs="楷体_GB2312" w:hint="eastAsia"/>
          <w:sz w:val="28"/>
          <w:szCs w:val="28"/>
        </w:rPr>
        <w:t>91.67%</w:t>
      </w:r>
      <w:r>
        <w:rPr>
          <w:rFonts w:ascii="楷体_GB2312" w:eastAsia="楷体_GB2312" w:hAnsi="楷体_GB2312" w:cs="楷体_GB2312" w:hint="eastAsia"/>
          <w:sz w:val="28"/>
          <w:szCs w:val="28"/>
        </w:rPr>
        <w:t>）、专业前沿知识</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89.58%</w:t>
      </w:r>
      <w:r>
        <w:rPr>
          <w:rFonts w:ascii="楷体_GB2312" w:eastAsia="楷体_GB2312" w:hAnsi="楷体_GB2312" w:cs="楷体_GB2312" w:hint="eastAsia"/>
          <w:sz w:val="28"/>
          <w:szCs w:val="28"/>
        </w:rPr>
        <w:t>）和专业基础知识（</w:t>
      </w:r>
      <w:r>
        <w:rPr>
          <w:rFonts w:ascii="楷体_GB2312" w:eastAsia="楷体_GB2312" w:hAnsi="楷体_GB2312" w:cs="楷体_GB2312" w:hint="eastAsia"/>
          <w:sz w:val="28"/>
          <w:szCs w:val="28"/>
        </w:rPr>
        <w:t>85.42%</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见图</w:t>
      </w:r>
      <w:r>
        <w:rPr>
          <w:rFonts w:ascii="楷体_GB2312" w:eastAsia="楷体_GB2312" w:hAnsi="楷体_GB2312" w:cs="楷体_GB2312" w:hint="eastAsia"/>
          <w:sz w:val="28"/>
          <w:szCs w:val="28"/>
        </w:rPr>
        <w:t>3-3</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w:t>
      </w:r>
    </w:p>
    <w:bookmarkStart w:id="3" w:name="_1574777690"/>
    <w:bookmarkEnd w:id="3"/>
    <w:p w:rsidR="00000000" w:rsidRDefault="009A1129">
      <w:pPr>
        <w:spacing w:line="480" w:lineRule="auto"/>
        <w:jc w:val="center"/>
        <w:rPr>
          <w:rFonts w:ascii="楷体_GB2312" w:eastAsia="楷体_GB2312" w:hAnsi="楷体_GB2312" w:cs="楷体_GB2312" w:hint="eastAsia"/>
          <w:b/>
          <w:bCs/>
          <w:sz w:val="28"/>
          <w:szCs w:val="28"/>
        </w:rPr>
      </w:pPr>
      <w:r>
        <w:rPr>
          <w:rFonts w:ascii="Calibri" w:hAnsi="Calibri" w:cs="黑体"/>
          <w:b/>
          <w:szCs w:val="21"/>
        </w:rPr>
        <w:object w:dxaOrig="8205" w:dyaOrig="35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30" o:spid="_x0000_i1025" type="#_x0000_t75" style="width:410.25pt;height:179.25pt;mso-wrap-style:square;mso-position-horizontal-relative:page;mso-position-vertical-relative:page" o:ole="">
            <v:fill o:detectmouseclick="t"/>
            <v:imagedata r:id="rId22" o:title=""/>
          </v:shape>
          <o:OLEObject Type="Embed" ProgID="Excel.Sheet.12" ShapeID="对象 30" DrawAspect="Content" ObjectID="_1598980129" r:id="rId23"/>
        </w:object>
      </w: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3-</w:t>
      </w:r>
      <w:r>
        <w:rPr>
          <w:rFonts w:ascii="楷体_GB2312" w:eastAsia="楷体_GB2312" w:hAnsi="楷体_GB2312" w:cs="楷体_GB2312" w:hint="eastAsia"/>
          <w:b/>
          <w:bCs/>
          <w:sz w:val="28"/>
          <w:szCs w:val="28"/>
        </w:rPr>
        <w:t>3</w:t>
      </w:r>
      <w:r>
        <w:rPr>
          <w:rFonts w:ascii="楷体_GB2312" w:eastAsia="楷体_GB2312" w:hAnsi="楷体_GB2312" w:cs="楷体_GB2312" w:hint="eastAsia"/>
          <w:b/>
          <w:bCs/>
          <w:sz w:val="28"/>
          <w:szCs w:val="28"/>
        </w:rPr>
        <w:t xml:space="preserve"> </w:t>
      </w:r>
      <w:r>
        <w:rPr>
          <w:rFonts w:ascii="楷体_GB2312" w:eastAsia="楷体_GB2312" w:hAnsi="楷体_GB2312" w:cs="楷体_GB2312" w:hint="eastAsia"/>
          <w:b/>
          <w:bCs/>
          <w:sz w:val="28"/>
          <w:szCs w:val="28"/>
        </w:rPr>
        <w:t>用人单位对我院毕业生知识的满意度</w:t>
      </w:r>
    </w:p>
    <w:p w:rsidR="00000000" w:rsidRDefault="009A1129">
      <w:pPr>
        <w:spacing w:line="480" w:lineRule="auto"/>
        <w:rPr>
          <w:rFonts w:ascii="楷体_GB2312" w:eastAsia="楷体_GB2312" w:hAnsi="楷体_GB2312" w:cs="楷体_GB2312" w:hint="eastAsia"/>
          <w:b/>
          <w:bCs/>
          <w:sz w:val="28"/>
          <w:szCs w:val="28"/>
        </w:rPr>
      </w:pPr>
    </w:p>
    <w:p w:rsidR="00000000" w:rsidRDefault="009A1129">
      <w:pPr>
        <w:spacing w:line="480" w:lineRule="auto"/>
        <w:rPr>
          <w:rFonts w:ascii="楷体_GB2312" w:eastAsia="楷体_GB2312" w:hAnsi="楷体_GB2312" w:cs="楷体_GB2312"/>
          <w:b/>
          <w:sz w:val="32"/>
          <w:szCs w:val="32"/>
        </w:rPr>
      </w:pPr>
      <w:r>
        <w:rPr>
          <w:rFonts w:ascii="楷体_GB2312" w:eastAsia="楷体_GB2312" w:hAnsi="楷体_GB2312" w:cs="楷体_GB2312" w:hint="eastAsia"/>
          <w:b/>
          <w:sz w:val="32"/>
          <w:szCs w:val="32"/>
        </w:rPr>
        <w:t>（三）用人单位对毕业生职业能力的</w:t>
      </w:r>
      <w:r>
        <w:rPr>
          <w:rFonts w:ascii="楷体_GB2312" w:eastAsia="楷体_GB2312" w:hAnsi="楷体_GB2312" w:cs="楷体_GB2312" w:hint="eastAsia"/>
          <w:b/>
          <w:sz w:val="32"/>
          <w:szCs w:val="32"/>
        </w:rPr>
        <w:t>满意度</w:t>
      </w:r>
    </w:p>
    <w:p w:rsidR="00000000" w:rsidRDefault="009A1129">
      <w:pPr>
        <w:ind w:firstLineChars="200" w:firstLine="560"/>
        <w:rPr>
          <w:rFonts w:ascii="楷体_GB2312" w:eastAsia="楷体_GB2312" w:hAnsi="楷体_GB2312" w:cs="楷体_GB2312" w:hint="eastAsia"/>
          <w:sz w:val="28"/>
          <w:szCs w:val="28"/>
        </w:rPr>
      </w:pPr>
      <w:r>
        <w:rPr>
          <w:rFonts w:ascii="楷体_GB2312" w:eastAsia="楷体_GB2312" w:hAnsi="楷体_GB2312" w:cs="楷体_GB2312" w:hint="eastAsia"/>
          <w:sz w:val="28"/>
          <w:szCs w:val="28"/>
        </w:rPr>
        <w:t>2017</w:t>
      </w:r>
      <w:r>
        <w:rPr>
          <w:rFonts w:ascii="楷体_GB2312" w:eastAsia="楷体_GB2312" w:hAnsi="楷体_GB2312" w:cs="楷体_GB2312" w:hint="eastAsia"/>
          <w:sz w:val="28"/>
          <w:szCs w:val="28"/>
        </w:rPr>
        <w:t>年</w:t>
      </w:r>
      <w:r>
        <w:rPr>
          <w:rFonts w:ascii="楷体_GB2312" w:eastAsia="楷体_GB2312" w:hAnsi="楷体_GB2312" w:cs="楷体_GB2312" w:hint="eastAsia"/>
          <w:sz w:val="28"/>
          <w:szCs w:val="28"/>
        </w:rPr>
        <w:t>用人单位对于我院毕业生职业相关能力的认可度由高到低依次为：应用分析能力（</w:t>
      </w:r>
      <w:r>
        <w:rPr>
          <w:rFonts w:ascii="楷体_GB2312" w:eastAsia="楷体_GB2312" w:hAnsi="楷体_GB2312" w:cs="楷体_GB2312" w:hint="eastAsia"/>
          <w:sz w:val="28"/>
          <w:szCs w:val="28"/>
        </w:rPr>
        <w:t>91.67%</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沟通交流能力</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89.58%</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、管理能力</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89.58%</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、动手操作能力（</w:t>
      </w:r>
      <w:r>
        <w:rPr>
          <w:rFonts w:ascii="楷体_GB2312" w:eastAsia="楷体_GB2312" w:hAnsi="楷体_GB2312" w:cs="楷体_GB2312" w:hint="eastAsia"/>
          <w:sz w:val="28"/>
          <w:szCs w:val="28"/>
        </w:rPr>
        <w:t>89.58%</w:t>
      </w:r>
      <w:r>
        <w:rPr>
          <w:rFonts w:ascii="楷体_GB2312" w:eastAsia="楷体_GB2312" w:hAnsi="楷体_GB2312" w:cs="楷体_GB2312" w:hint="eastAsia"/>
          <w:sz w:val="28"/>
          <w:szCs w:val="28"/>
        </w:rPr>
        <w:t>）、科学思维能力（</w:t>
      </w:r>
      <w:r>
        <w:rPr>
          <w:rFonts w:ascii="楷体_GB2312" w:eastAsia="楷体_GB2312" w:hAnsi="楷体_GB2312" w:cs="楷体_GB2312" w:hint="eastAsia"/>
          <w:sz w:val="28"/>
          <w:szCs w:val="28"/>
        </w:rPr>
        <w:t>87.50%</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、创新能力（</w:t>
      </w:r>
      <w:r>
        <w:rPr>
          <w:rFonts w:ascii="楷体_GB2312" w:eastAsia="楷体_GB2312" w:hAnsi="楷体_GB2312" w:cs="楷体_GB2312" w:hint="eastAsia"/>
          <w:sz w:val="28"/>
          <w:szCs w:val="28"/>
        </w:rPr>
        <w:t>85.42%</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见图</w:t>
      </w:r>
      <w:r>
        <w:rPr>
          <w:rFonts w:ascii="楷体_GB2312" w:eastAsia="楷体_GB2312" w:hAnsi="楷体_GB2312" w:cs="楷体_GB2312" w:hint="eastAsia"/>
          <w:sz w:val="28"/>
          <w:szCs w:val="28"/>
        </w:rPr>
        <w:t>3-4</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w:t>
      </w:r>
    </w:p>
    <w:bookmarkStart w:id="4" w:name="_1574777694"/>
    <w:bookmarkEnd w:id="4"/>
    <w:p w:rsidR="00000000" w:rsidRDefault="009A1129">
      <w:pPr>
        <w:ind w:firstLineChars="200" w:firstLine="422"/>
        <w:jc w:val="center"/>
        <w:rPr>
          <w:rFonts w:ascii="Calibri" w:hAnsi="Calibri" w:cs="黑体"/>
          <w:b/>
          <w:szCs w:val="21"/>
        </w:rPr>
      </w:pPr>
      <w:r>
        <w:rPr>
          <w:rFonts w:ascii="Calibri" w:hAnsi="Calibri" w:cs="黑体"/>
          <w:b/>
          <w:szCs w:val="21"/>
        </w:rPr>
        <w:object w:dxaOrig="7309" w:dyaOrig="2909">
          <v:shape id="对象 37" o:spid="_x0000_i1026" type="#_x0000_t75" style="width:365.25pt;height:145.5pt;mso-wrap-style:square;mso-position-horizontal-relative:page;mso-position-vertical-relative:page" o:ole="">
            <v:fill o:detectmouseclick="t"/>
            <v:imagedata r:id="rId24" o:title=""/>
          </v:shape>
          <o:OLEObject Type="Embed" ProgID="Excel.Sheet.12" ShapeID="对象 37" DrawAspect="Content" ObjectID="_1598980130" r:id="rId25"/>
        </w:object>
      </w:r>
    </w:p>
    <w:p w:rsidR="00000000" w:rsidRDefault="009A1129">
      <w:pPr>
        <w:ind w:firstLineChars="200" w:firstLine="562"/>
        <w:jc w:val="center"/>
        <w:rPr>
          <w:rFonts w:ascii="楷体_GB2312" w:eastAsia="楷体_GB2312" w:hAnsi="楷体_GB2312" w:cs="楷体_GB2312" w:hint="eastAsia"/>
          <w:b/>
          <w:bCs/>
          <w:sz w:val="28"/>
          <w:szCs w:val="28"/>
        </w:rPr>
      </w:pP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 xml:space="preserve">3-4  </w:t>
      </w:r>
      <w:r>
        <w:rPr>
          <w:rFonts w:ascii="楷体_GB2312" w:eastAsia="楷体_GB2312" w:hAnsi="楷体_GB2312" w:cs="楷体_GB2312" w:hint="eastAsia"/>
          <w:b/>
          <w:bCs/>
          <w:sz w:val="28"/>
          <w:szCs w:val="28"/>
        </w:rPr>
        <w:t>用人单位对我院毕业生职业能力的</w:t>
      </w:r>
      <w:r>
        <w:rPr>
          <w:rFonts w:ascii="楷体_GB2312" w:eastAsia="楷体_GB2312" w:hAnsi="楷体_GB2312" w:cs="楷体_GB2312" w:hint="eastAsia"/>
          <w:b/>
          <w:bCs/>
          <w:sz w:val="28"/>
          <w:szCs w:val="28"/>
        </w:rPr>
        <w:t>满意度</w:t>
      </w:r>
    </w:p>
    <w:p w:rsidR="00000000" w:rsidRDefault="009A1129">
      <w:pPr>
        <w:ind w:firstLineChars="200" w:firstLine="562"/>
        <w:jc w:val="center"/>
        <w:rPr>
          <w:rFonts w:ascii="楷体_GB2312" w:eastAsia="楷体_GB2312" w:hAnsi="楷体_GB2312" w:cs="楷体_GB2312" w:hint="eastAsia"/>
          <w:b/>
          <w:bCs/>
          <w:sz w:val="28"/>
          <w:szCs w:val="28"/>
        </w:rPr>
      </w:pPr>
    </w:p>
    <w:p w:rsidR="00000000" w:rsidRDefault="009A1129">
      <w:pPr>
        <w:rPr>
          <w:rFonts w:ascii="楷体_GB2312" w:eastAsia="楷体_GB2312" w:hAnsi="楷体_GB2312" w:cs="楷体_GB2312" w:hint="eastAsia"/>
          <w:b/>
          <w:sz w:val="32"/>
          <w:szCs w:val="32"/>
        </w:rPr>
      </w:pPr>
      <w:r>
        <w:rPr>
          <w:rFonts w:ascii="楷体_GB2312" w:eastAsia="楷体_GB2312" w:hAnsi="楷体_GB2312" w:cs="楷体_GB2312" w:hint="eastAsia"/>
          <w:b/>
          <w:sz w:val="32"/>
          <w:szCs w:val="32"/>
        </w:rPr>
        <w:t>（四）</w:t>
      </w:r>
      <w:r>
        <w:rPr>
          <w:rFonts w:ascii="楷体_GB2312" w:eastAsia="楷体_GB2312" w:hAnsi="楷体_GB2312" w:cs="楷体_GB2312" w:hint="eastAsia"/>
          <w:b/>
          <w:sz w:val="32"/>
          <w:szCs w:val="32"/>
        </w:rPr>
        <w:t>用人单位对毕业生职业</w:t>
      </w:r>
      <w:r>
        <w:rPr>
          <w:rFonts w:ascii="楷体_GB2312" w:eastAsia="楷体_GB2312" w:hAnsi="楷体_GB2312" w:cs="楷体_GB2312" w:hint="eastAsia"/>
          <w:b/>
          <w:sz w:val="32"/>
          <w:szCs w:val="32"/>
        </w:rPr>
        <w:t>素养</w:t>
      </w:r>
      <w:r>
        <w:rPr>
          <w:rFonts w:ascii="楷体_GB2312" w:eastAsia="楷体_GB2312" w:hAnsi="楷体_GB2312" w:cs="楷体_GB2312" w:hint="eastAsia"/>
          <w:b/>
          <w:sz w:val="32"/>
          <w:szCs w:val="32"/>
        </w:rPr>
        <w:t>的</w:t>
      </w:r>
      <w:r>
        <w:rPr>
          <w:rFonts w:ascii="楷体_GB2312" w:eastAsia="楷体_GB2312" w:hAnsi="楷体_GB2312" w:cs="楷体_GB2312" w:hint="eastAsia"/>
          <w:b/>
          <w:sz w:val="32"/>
          <w:szCs w:val="32"/>
        </w:rPr>
        <w:t>满意度</w:t>
      </w:r>
    </w:p>
    <w:p w:rsidR="00000000" w:rsidRDefault="009A1129">
      <w:pPr>
        <w:ind w:firstLineChars="200" w:firstLine="560"/>
        <w:rPr>
          <w:rFonts w:ascii="楷体_GB2312" w:eastAsia="楷体_GB2312" w:hAnsi="楷体_GB2312" w:cs="楷体_GB2312" w:hint="eastAsia"/>
          <w:sz w:val="28"/>
          <w:szCs w:val="28"/>
        </w:rPr>
      </w:pPr>
      <w:r>
        <w:rPr>
          <w:rFonts w:ascii="楷体_GB2312" w:eastAsia="楷体_GB2312" w:hAnsi="楷体_GB2312" w:cs="楷体_GB2312" w:hint="eastAsia"/>
          <w:sz w:val="28"/>
          <w:szCs w:val="28"/>
        </w:rPr>
        <w:t>2017</w:t>
      </w:r>
      <w:r>
        <w:rPr>
          <w:rFonts w:ascii="楷体_GB2312" w:eastAsia="楷体_GB2312" w:hAnsi="楷体_GB2312" w:cs="楷体_GB2312" w:hint="eastAsia"/>
          <w:sz w:val="28"/>
          <w:szCs w:val="28"/>
        </w:rPr>
        <w:t>年用人单位</w:t>
      </w:r>
      <w:r>
        <w:rPr>
          <w:rFonts w:ascii="楷体_GB2312" w:eastAsia="楷体_GB2312" w:hAnsi="楷体_GB2312" w:cs="楷体_GB2312" w:hint="eastAsia"/>
          <w:sz w:val="28"/>
          <w:szCs w:val="28"/>
        </w:rPr>
        <w:t>对我院</w:t>
      </w:r>
      <w:r>
        <w:rPr>
          <w:rFonts w:ascii="楷体_GB2312" w:eastAsia="楷体_GB2312" w:hAnsi="楷体_GB2312" w:cs="楷体_GB2312" w:hint="eastAsia"/>
          <w:sz w:val="28"/>
          <w:szCs w:val="28"/>
        </w:rPr>
        <w:t>毕业生职业素养满意度较高的是个人品质、做事方式、自我管理、情感与价值观（均为</w:t>
      </w:r>
      <w:r>
        <w:rPr>
          <w:rFonts w:ascii="楷体_GB2312" w:eastAsia="楷体_GB2312" w:hAnsi="楷体_GB2312" w:cs="楷体_GB2312" w:hint="eastAsia"/>
          <w:sz w:val="28"/>
          <w:szCs w:val="28"/>
        </w:rPr>
        <w:t>91.67%</w:t>
      </w:r>
      <w:r>
        <w:rPr>
          <w:rFonts w:ascii="楷体_GB2312" w:eastAsia="楷体_GB2312" w:hAnsi="楷体_GB2312" w:cs="楷体_GB2312" w:hint="eastAsia"/>
          <w:sz w:val="28"/>
          <w:szCs w:val="28"/>
        </w:rPr>
        <w:t>），其次是适应环境（</w:t>
      </w:r>
      <w:r>
        <w:rPr>
          <w:rFonts w:ascii="楷体_GB2312" w:eastAsia="楷体_GB2312" w:hAnsi="楷体_GB2312" w:cs="楷体_GB2312" w:hint="eastAsia"/>
          <w:sz w:val="28"/>
          <w:szCs w:val="28"/>
        </w:rPr>
        <w:t>83.33%</w:t>
      </w:r>
      <w:r>
        <w:rPr>
          <w:rFonts w:ascii="楷体_GB2312" w:eastAsia="楷体_GB2312" w:hAnsi="楷体_GB2312" w:cs="楷体_GB2312" w:hint="eastAsia"/>
          <w:sz w:val="28"/>
          <w:szCs w:val="28"/>
        </w:rPr>
        <w:t>）、工作态度（</w:t>
      </w:r>
      <w:r>
        <w:rPr>
          <w:rFonts w:ascii="楷体_GB2312" w:eastAsia="楷体_GB2312" w:hAnsi="楷体_GB2312" w:cs="楷体_GB2312" w:hint="eastAsia"/>
          <w:sz w:val="28"/>
          <w:szCs w:val="28"/>
        </w:rPr>
        <w:t>79.17%</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（见图</w:t>
      </w:r>
      <w:r>
        <w:rPr>
          <w:rFonts w:ascii="楷体_GB2312" w:eastAsia="楷体_GB2312" w:hAnsi="楷体_GB2312" w:cs="楷体_GB2312" w:hint="eastAsia"/>
          <w:sz w:val="28"/>
          <w:szCs w:val="28"/>
        </w:rPr>
        <w:t>3-5</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w:t>
      </w:r>
    </w:p>
    <w:bookmarkStart w:id="5" w:name="_1574777692"/>
    <w:bookmarkEnd w:id="5"/>
    <w:p w:rsidR="00000000" w:rsidRDefault="009A1129">
      <w:pPr>
        <w:rPr>
          <w:rFonts w:ascii="Calibri" w:hAnsi="Calibri" w:cs="黑体"/>
          <w:b/>
          <w:szCs w:val="21"/>
        </w:rPr>
      </w:pPr>
      <w:r>
        <w:rPr>
          <w:rFonts w:ascii="Calibri" w:hAnsi="Calibri" w:cs="黑体"/>
          <w:b/>
          <w:szCs w:val="21"/>
        </w:rPr>
        <w:object w:dxaOrig="8205" w:dyaOrig="3033">
          <v:shape id="对象 33" o:spid="_x0000_i1027" type="#_x0000_t75" style="width:410.25pt;height:151.5pt;mso-wrap-style:square;mso-position-horizontal-relative:page;mso-position-vertical-relative:page" o:ole="">
            <v:fill o:detectmouseclick="t"/>
            <v:imagedata r:id="rId26" o:title=""/>
          </v:shape>
          <o:OLEObject Type="Embed" ProgID="Excel.Sheet.12" ShapeID="对象 33" DrawAspect="Content" ObjectID="_1598980131" r:id="rId27"/>
        </w:object>
      </w:r>
    </w:p>
    <w:p w:rsidR="00000000" w:rsidRDefault="009A1129">
      <w:pPr>
        <w:ind w:firstLineChars="200" w:firstLine="562"/>
        <w:jc w:val="center"/>
        <w:rPr>
          <w:rFonts w:ascii="楷体_GB2312" w:eastAsia="楷体_GB2312" w:hAnsi="楷体_GB2312" w:cs="楷体_GB2312" w:hint="eastAsia"/>
          <w:b/>
          <w:bCs/>
          <w:sz w:val="28"/>
          <w:szCs w:val="28"/>
        </w:rPr>
      </w:pP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3-</w:t>
      </w:r>
      <w:r>
        <w:rPr>
          <w:rFonts w:ascii="楷体_GB2312" w:eastAsia="楷体_GB2312" w:hAnsi="楷体_GB2312" w:cs="楷体_GB2312" w:hint="eastAsia"/>
          <w:b/>
          <w:bCs/>
          <w:sz w:val="28"/>
          <w:szCs w:val="28"/>
        </w:rPr>
        <w:t>5</w:t>
      </w:r>
      <w:r>
        <w:rPr>
          <w:rFonts w:ascii="楷体_GB2312" w:eastAsia="楷体_GB2312" w:hAnsi="楷体_GB2312" w:cs="楷体_GB2312" w:hint="eastAsia"/>
          <w:b/>
          <w:bCs/>
          <w:sz w:val="28"/>
          <w:szCs w:val="28"/>
        </w:rPr>
        <w:t xml:space="preserve">  </w:t>
      </w:r>
      <w:r>
        <w:rPr>
          <w:rFonts w:ascii="楷体_GB2312" w:eastAsia="楷体_GB2312" w:hAnsi="楷体_GB2312" w:cs="楷体_GB2312" w:hint="eastAsia"/>
          <w:b/>
          <w:bCs/>
          <w:sz w:val="28"/>
          <w:szCs w:val="28"/>
        </w:rPr>
        <w:t>用人单位对我院毕业生职业</w:t>
      </w:r>
      <w:r>
        <w:rPr>
          <w:rFonts w:ascii="楷体_GB2312" w:eastAsia="楷体_GB2312" w:hAnsi="楷体_GB2312" w:cs="楷体_GB2312" w:hint="eastAsia"/>
          <w:b/>
          <w:bCs/>
          <w:sz w:val="28"/>
          <w:szCs w:val="28"/>
        </w:rPr>
        <w:t>素养</w:t>
      </w:r>
      <w:r>
        <w:rPr>
          <w:rFonts w:ascii="楷体_GB2312" w:eastAsia="楷体_GB2312" w:hAnsi="楷体_GB2312" w:cs="楷体_GB2312" w:hint="eastAsia"/>
          <w:b/>
          <w:bCs/>
          <w:sz w:val="28"/>
          <w:szCs w:val="28"/>
        </w:rPr>
        <w:t>的</w:t>
      </w:r>
      <w:r>
        <w:rPr>
          <w:rFonts w:ascii="楷体_GB2312" w:eastAsia="楷体_GB2312" w:hAnsi="楷体_GB2312" w:cs="楷体_GB2312" w:hint="eastAsia"/>
          <w:b/>
          <w:bCs/>
          <w:sz w:val="28"/>
          <w:szCs w:val="28"/>
        </w:rPr>
        <w:t>满意度</w:t>
      </w:r>
    </w:p>
    <w:p w:rsidR="00000000" w:rsidRDefault="009A1129">
      <w:pPr>
        <w:ind w:firstLineChars="200" w:firstLine="562"/>
        <w:jc w:val="center"/>
        <w:rPr>
          <w:rFonts w:ascii="楷体_GB2312" w:eastAsia="楷体_GB2312" w:hAnsi="楷体_GB2312" w:cs="楷体_GB2312" w:hint="eastAsia"/>
          <w:b/>
          <w:bCs/>
          <w:sz w:val="28"/>
          <w:szCs w:val="28"/>
        </w:rPr>
      </w:pPr>
    </w:p>
    <w:p w:rsidR="00000000" w:rsidRDefault="009A1129">
      <w:pPr>
        <w:ind w:firstLineChars="200" w:firstLine="562"/>
        <w:jc w:val="center"/>
        <w:rPr>
          <w:rFonts w:ascii="楷体_GB2312" w:eastAsia="楷体_GB2312" w:hAnsi="楷体_GB2312" w:cs="楷体_GB2312" w:hint="eastAsia"/>
          <w:b/>
          <w:bCs/>
          <w:sz w:val="28"/>
          <w:szCs w:val="28"/>
        </w:rPr>
      </w:pPr>
    </w:p>
    <w:p w:rsidR="00000000" w:rsidRDefault="009A1129">
      <w:pPr>
        <w:ind w:firstLineChars="200" w:firstLine="562"/>
        <w:jc w:val="center"/>
        <w:rPr>
          <w:rFonts w:ascii="楷体_GB2312" w:eastAsia="楷体_GB2312" w:hAnsi="楷体_GB2312" w:cs="楷体_GB2312" w:hint="eastAsia"/>
          <w:b/>
          <w:bCs/>
          <w:sz w:val="28"/>
          <w:szCs w:val="28"/>
        </w:rPr>
      </w:pPr>
    </w:p>
    <w:p w:rsidR="00000000" w:rsidRDefault="009A1129">
      <w:pPr>
        <w:ind w:firstLineChars="200" w:firstLine="562"/>
        <w:jc w:val="center"/>
        <w:rPr>
          <w:rFonts w:ascii="楷体_GB2312" w:eastAsia="楷体_GB2312" w:hAnsi="楷体_GB2312" w:cs="楷体_GB2312" w:hint="eastAsia"/>
          <w:b/>
          <w:bCs/>
          <w:sz w:val="28"/>
          <w:szCs w:val="28"/>
        </w:rPr>
      </w:pPr>
    </w:p>
    <w:p w:rsidR="00000000" w:rsidRDefault="009A1129">
      <w:pPr>
        <w:ind w:firstLineChars="200" w:firstLine="562"/>
        <w:jc w:val="center"/>
        <w:rPr>
          <w:rFonts w:ascii="楷体_GB2312" w:eastAsia="楷体_GB2312" w:hAnsi="楷体_GB2312" w:cs="楷体_GB2312" w:hint="eastAsia"/>
          <w:b/>
          <w:bCs/>
          <w:sz w:val="28"/>
          <w:szCs w:val="28"/>
        </w:rPr>
      </w:pPr>
    </w:p>
    <w:p w:rsidR="00000000" w:rsidRDefault="009A1129">
      <w:pPr>
        <w:spacing w:line="480" w:lineRule="auto"/>
        <w:jc w:val="center"/>
        <w:rPr>
          <w:rFonts w:ascii="楷体_GB2312" w:eastAsia="楷体_GB2312" w:hAnsi="楷体_GB2312" w:cs="楷体_GB2312"/>
          <w:b/>
          <w:bCs/>
          <w:sz w:val="36"/>
          <w:szCs w:val="36"/>
        </w:rPr>
      </w:pPr>
      <w:r>
        <w:rPr>
          <w:rFonts w:ascii="楷体_GB2312" w:eastAsia="楷体_GB2312" w:hAnsi="楷体_GB2312" w:cs="楷体_GB2312" w:hint="eastAsia"/>
          <w:b/>
          <w:bCs/>
          <w:sz w:val="36"/>
          <w:szCs w:val="36"/>
        </w:rPr>
        <w:lastRenderedPageBreak/>
        <w:t>第四部分</w:t>
      </w:r>
      <w:r>
        <w:rPr>
          <w:rFonts w:ascii="楷体_GB2312" w:eastAsia="楷体_GB2312" w:hAnsi="楷体_GB2312" w:cs="楷体_GB2312" w:hint="eastAsia"/>
          <w:b/>
          <w:bCs/>
          <w:sz w:val="36"/>
          <w:szCs w:val="36"/>
        </w:rPr>
        <w:t xml:space="preserve">  </w:t>
      </w:r>
      <w:r>
        <w:rPr>
          <w:rFonts w:ascii="楷体_GB2312" w:eastAsia="楷体_GB2312" w:hAnsi="楷体_GB2312" w:cs="楷体_GB2312" w:hint="eastAsia"/>
          <w:b/>
          <w:bCs/>
          <w:sz w:val="36"/>
          <w:szCs w:val="36"/>
        </w:rPr>
        <w:t>就业对教育教学的</w:t>
      </w:r>
      <w:r>
        <w:rPr>
          <w:rFonts w:ascii="楷体_GB2312" w:eastAsia="楷体_GB2312" w:hAnsi="楷体_GB2312" w:cs="楷体_GB2312" w:hint="eastAsia"/>
          <w:b/>
          <w:bCs/>
          <w:sz w:val="36"/>
          <w:szCs w:val="36"/>
        </w:rPr>
        <w:t>反馈</w:t>
      </w:r>
    </w:p>
    <w:p w:rsidR="00000000" w:rsidRDefault="009A1129">
      <w:pPr>
        <w:autoSpaceDE w:val="0"/>
        <w:autoSpaceDN w:val="0"/>
        <w:adjustRightInd w:val="0"/>
        <w:spacing w:line="520" w:lineRule="exact"/>
        <w:ind w:firstLineChars="200" w:firstLine="560"/>
        <w:jc w:val="left"/>
        <w:rPr>
          <w:rFonts w:ascii="楷体_GB2312" w:eastAsia="楷体_GB2312" w:hAnsi="楷体_GB2312" w:cs="楷体_GB2312"/>
          <w:kern w:val="0"/>
          <w:sz w:val="28"/>
          <w:szCs w:val="28"/>
        </w:rPr>
      </w:pPr>
      <w:r>
        <w:rPr>
          <w:rFonts w:ascii="楷体_GB2312" w:eastAsia="楷体_GB2312" w:hAnsi="楷体_GB2312" w:cs="楷体_GB2312" w:hint="eastAsia"/>
          <w:kern w:val="0"/>
          <w:sz w:val="28"/>
          <w:szCs w:val="28"/>
        </w:rPr>
        <w:t>为建立和完善毕业生对人才培养的反馈机制，学院向应届毕业生发放调查问卷，了解他们对就业指导服务和人才培养工作的评价，以及对学院的满意度。</w:t>
      </w:r>
    </w:p>
    <w:p w:rsidR="00000000" w:rsidRDefault="009A1129">
      <w:pPr>
        <w:autoSpaceDE w:val="0"/>
        <w:autoSpaceDN w:val="0"/>
        <w:adjustRightInd w:val="0"/>
        <w:spacing w:line="520" w:lineRule="exact"/>
        <w:jc w:val="left"/>
        <w:rPr>
          <w:rFonts w:ascii="楷体_GB2312" w:eastAsia="楷体_GB2312" w:hAnsi="楷体_GB2312" w:cs="楷体_GB2312" w:hint="eastAsia"/>
          <w:b/>
          <w:kern w:val="0"/>
          <w:sz w:val="32"/>
          <w:szCs w:val="32"/>
        </w:rPr>
      </w:pPr>
      <w:r>
        <w:rPr>
          <w:rFonts w:ascii="楷体_GB2312" w:eastAsia="楷体_GB2312" w:hAnsi="楷体_GB2312" w:cs="楷体_GB2312" w:hint="eastAsia"/>
          <w:b/>
          <w:bCs/>
          <w:kern w:val="0"/>
          <w:sz w:val="32"/>
          <w:szCs w:val="32"/>
        </w:rPr>
        <w:t>一、</w:t>
      </w:r>
      <w:r>
        <w:rPr>
          <w:rFonts w:ascii="楷体_GB2312" w:eastAsia="楷体_GB2312" w:hAnsi="楷体_GB2312" w:cs="楷体_GB2312" w:hint="eastAsia"/>
          <w:b/>
          <w:kern w:val="0"/>
          <w:sz w:val="32"/>
          <w:szCs w:val="32"/>
        </w:rPr>
        <w:t>毕业生对母校的</w:t>
      </w:r>
      <w:r>
        <w:rPr>
          <w:rFonts w:ascii="楷体_GB2312" w:eastAsia="楷体_GB2312" w:hAnsi="楷体_GB2312" w:cs="楷体_GB2312" w:hint="eastAsia"/>
          <w:b/>
          <w:kern w:val="0"/>
          <w:sz w:val="32"/>
          <w:szCs w:val="32"/>
        </w:rPr>
        <w:t>满意度</w:t>
      </w:r>
    </w:p>
    <w:p w:rsidR="00000000" w:rsidRDefault="009A1129">
      <w:pPr>
        <w:autoSpaceDE w:val="0"/>
        <w:autoSpaceDN w:val="0"/>
        <w:adjustRightInd w:val="0"/>
        <w:spacing w:line="520" w:lineRule="exact"/>
        <w:ind w:firstLineChars="200" w:firstLine="560"/>
        <w:jc w:val="left"/>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我院</w:t>
      </w:r>
      <w:r>
        <w:rPr>
          <w:rFonts w:ascii="楷体_GB2312" w:eastAsia="楷体_GB2312" w:hAnsi="楷体_GB2312" w:cs="楷体_GB2312" w:hint="eastAsia"/>
          <w:kern w:val="0"/>
          <w:sz w:val="28"/>
          <w:szCs w:val="28"/>
        </w:rPr>
        <w:t>2017</w:t>
      </w:r>
      <w:r>
        <w:rPr>
          <w:rFonts w:ascii="楷体_GB2312" w:eastAsia="楷体_GB2312" w:hAnsi="楷体_GB2312" w:cs="楷体_GB2312" w:hint="eastAsia"/>
          <w:kern w:val="0"/>
          <w:sz w:val="28"/>
          <w:szCs w:val="28"/>
        </w:rPr>
        <w:t>届毕业生对母校的满意度为</w:t>
      </w:r>
      <w:r>
        <w:rPr>
          <w:rFonts w:ascii="楷体_GB2312" w:eastAsia="楷体_GB2312" w:hAnsi="楷体_GB2312" w:cs="楷体_GB2312" w:hint="eastAsia"/>
          <w:kern w:val="0"/>
          <w:sz w:val="28"/>
          <w:szCs w:val="28"/>
        </w:rPr>
        <w:t>97.26%</w:t>
      </w:r>
      <w:r>
        <w:rPr>
          <w:rFonts w:ascii="楷体_GB2312" w:eastAsia="楷体_GB2312" w:hAnsi="楷体_GB2312" w:cs="楷体_GB2312" w:hint="eastAsia"/>
          <w:kern w:val="0"/>
          <w:sz w:val="28"/>
          <w:szCs w:val="28"/>
        </w:rPr>
        <w:t>。各学部中，毕业生对母校的满意度最高的学部是经济与管理学部（</w:t>
      </w:r>
      <w:r>
        <w:rPr>
          <w:rFonts w:ascii="楷体_GB2312" w:eastAsia="楷体_GB2312" w:hAnsi="楷体_GB2312" w:cs="楷体_GB2312" w:hint="eastAsia"/>
          <w:kern w:val="0"/>
          <w:sz w:val="28"/>
          <w:szCs w:val="28"/>
        </w:rPr>
        <w:t>99.16%</w:t>
      </w:r>
      <w:r>
        <w:rPr>
          <w:rFonts w:ascii="楷体_GB2312" w:eastAsia="楷体_GB2312" w:hAnsi="楷体_GB2312" w:cs="楷体_GB2312" w:hint="eastAsia"/>
          <w:kern w:val="0"/>
          <w:sz w:val="28"/>
          <w:szCs w:val="28"/>
        </w:rPr>
        <w:t>），有城市管理、行政管理等</w:t>
      </w:r>
      <w:r>
        <w:rPr>
          <w:rFonts w:ascii="楷体_GB2312" w:eastAsia="楷体_GB2312" w:hAnsi="楷体_GB2312" w:cs="楷体_GB2312" w:hint="eastAsia"/>
          <w:kern w:val="0"/>
          <w:sz w:val="28"/>
          <w:szCs w:val="28"/>
        </w:rPr>
        <w:t>15</w:t>
      </w:r>
      <w:r>
        <w:rPr>
          <w:rFonts w:ascii="楷体_GB2312" w:eastAsia="楷体_GB2312" w:hAnsi="楷体_GB2312" w:cs="楷体_GB2312" w:hint="eastAsia"/>
          <w:kern w:val="0"/>
          <w:sz w:val="28"/>
          <w:szCs w:val="28"/>
        </w:rPr>
        <w:t>个专业的学生对母校的满意度为</w:t>
      </w:r>
      <w:r>
        <w:rPr>
          <w:rFonts w:ascii="楷体_GB2312" w:eastAsia="楷体_GB2312" w:hAnsi="楷体_GB2312" w:cs="楷体_GB2312" w:hint="eastAsia"/>
          <w:kern w:val="0"/>
          <w:sz w:val="28"/>
          <w:szCs w:val="28"/>
        </w:rPr>
        <w:t>100%</w:t>
      </w:r>
      <w:r>
        <w:rPr>
          <w:rFonts w:ascii="楷体_GB2312" w:eastAsia="楷体_GB2312" w:hAnsi="楷体_GB2312" w:cs="楷体_GB2312" w:hint="eastAsia"/>
          <w:kern w:val="0"/>
          <w:sz w:val="28"/>
          <w:szCs w:val="28"/>
        </w:rPr>
        <w:t>，学生对我院的整体满意度较高（见表</w:t>
      </w:r>
      <w:r>
        <w:rPr>
          <w:rFonts w:ascii="楷体_GB2312" w:eastAsia="楷体_GB2312" w:hAnsi="楷体_GB2312" w:cs="楷体_GB2312" w:hint="eastAsia"/>
          <w:kern w:val="0"/>
          <w:sz w:val="28"/>
          <w:szCs w:val="28"/>
        </w:rPr>
        <w:t>4-1</w:t>
      </w:r>
      <w:r>
        <w:rPr>
          <w:rFonts w:ascii="楷体_GB2312" w:eastAsia="楷体_GB2312" w:hAnsi="楷体_GB2312" w:cs="楷体_GB2312" w:hint="eastAsia"/>
          <w:kern w:val="0"/>
          <w:sz w:val="28"/>
          <w:szCs w:val="28"/>
        </w:rPr>
        <w:t>）。</w:t>
      </w:r>
    </w:p>
    <w:p w:rsidR="00000000" w:rsidRDefault="009A1129">
      <w:pPr>
        <w:jc w:val="center"/>
        <w:rPr>
          <w:rFonts w:ascii="楷体_GB2312" w:eastAsia="楷体_GB2312" w:hAnsi="楷体_GB2312" w:cs="楷体_GB2312" w:hint="eastAsia"/>
          <w:kern w:val="0"/>
          <w:sz w:val="28"/>
          <w:szCs w:val="28"/>
        </w:rPr>
      </w:pPr>
      <w:r>
        <w:rPr>
          <w:rFonts w:ascii="楷体_GB2312" w:eastAsia="楷体_GB2312" w:hAnsi="楷体_GB2312" w:cs="楷体_GB2312" w:hint="eastAsia"/>
          <w:sz w:val="28"/>
          <w:szCs w:val="28"/>
        </w:rPr>
        <w:t>表</w:t>
      </w:r>
      <w:r>
        <w:rPr>
          <w:rFonts w:ascii="楷体_GB2312" w:eastAsia="楷体_GB2312" w:hAnsi="楷体_GB2312" w:cs="楷体_GB2312" w:hint="eastAsia"/>
          <w:sz w:val="28"/>
          <w:szCs w:val="28"/>
        </w:rPr>
        <w:t xml:space="preserve"> 4-1  </w:t>
      </w:r>
      <w:r>
        <w:rPr>
          <w:rFonts w:ascii="楷体_GB2312" w:eastAsia="楷体_GB2312" w:hAnsi="楷体_GB2312" w:cs="楷体_GB2312" w:hint="eastAsia"/>
          <w:sz w:val="28"/>
          <w:szCs w:val="28"/>
        </w:rPr>
        <w:t>201</w:t>
      </w:r>
      <w:r>
        <w:rPr>
          <w:rFonts w:ascii="楷体_GB2312" w:eastAsia="楷体_GB2312" w:hAnsi="楷体_GB2312" w:cs="楷体_GB2312" w:hint="eastAsia"/>
          <w:sz w:val="28"/>
          <w:szCs w:val="28"/>
        </w:rPr>
        <w:t>7</w:t>
      </w:r>
      <w:r>
        <w:rPr>
          <w:rFonts w:ascii="楷体_GB2312" w:eastAsia="楷体_GB2312" w:hAnsi="楷体_GB2312" w:cs="楷体_GB2312" w:hint="eastAsia"/>
          <w:sz w:val="28"/>
          <w:szCs w:val="28"/>
        </w:rPr>
        <w:t>届毕业生</w:t>
      </w:r>
      <w:r>
        <w:rPr>
          <w:rFonts w:ascii="楷体_GB2312" w:eastAsia="楷体_GB2312" w:hAnsi="楷体_GB2312" w:cs="楷体_GB2312" w:hint="eastAsia"/>
          <w:sz w:val="28"/>
          <w:szCs w:val="28"/>
        </w:rPr>
        <w:t>对母校的满意度</w:t>
      </w:r>
    </w:p>
    <w:p w:rsidR="00000000" w:rsidRDefault="009A1129">
      <w:pPr>
        <w:jc w:val="right"/>
      </w:pPr>
      <w:r>
        <w:rPr>
          <w:b/>
          <w:sz w:val="18"/>
          <w:szCs w:val="18"/>
        </w:rPr>
        <w:t>单位</w:t>
      </w:r>
      <w:r>
        <w:rPr>
          <w:rFonts w:hint="eastAsia"/>
          <w:b/>
          <w:sz w:val="18"/>
          <w:szCs w:val="18"/>
        </w:rPr>
        <w:t>：</w:t>
      </w:r>
      <w:r>
        <w:rPr>
          <w:rFonts w:ascii="Calibri" w:hAnsi="Calibri" w:cs="宋体" w:hint="eastAsia"/>
          <w:b/>
          <w:bCs/>
          <w:color w:val="000000"/>
          <w:kern w:val="0"/>
          <w:sz w:val="18"/>
          <w:szCs w:val="18"/>
        </w:rPr>
        <w:t>%</w:t>
      </w:r>
    </w:p>
    <w:tbl>
      <w:tblPr>
        <w:tblW w:w="0" w:type="auto"/>
        <w:tblInd w:w="0" w:type="dxa"/>
        <w:tblLayout w:type="fixed"/>
        <w:tblLook w:val="0000"/>
      </w:tblPr>
      <w:tblGrid>
        <w:gridCol w:w="1947"/>
        <w:gridCol w:w="2303"/>
        <w:gridCol w:w="2416"/>
        <w:gridCol w:w="2224"/>
      </w:tblGrid>
      <w:tr w:rsidR="00000000">
        <w:trPr>
          <w:trHeight w:val="285"/>
          <w:tblHeader/>
        </w:trPr>
        <w:tc>
          <w:tcPr>
            <w:tcW w:w="1947" w:type="dxa"/>
            <w:tcBorders>
              <w:top w:val="single" w:sz="8" w:space="0" w:color="FFFFFF"/>
              <w:left w:val="single" w:sz="8" w:space="0" w:color="FFFFFF"/>
              <w:bottom w:val="nil"/>
              <w:right w:val="single" w:sz="8" w:space="0" w:color="FFFFFF"/>
            </w:tcBorders>
            <w:shd w:val="clear" w:color="000000" w:fill="8DB3E2"/>
            <w:vAlign w:val="center"/>
          </w:tcPr>
          <w:p w:rsidR="00000000" w:rsidRDefault="009A1129">
            <w:pPr>
              <w:widowControl/>
              <w:spacing w:line="320" w:lineRule="exact"/>
              <w:jc w:val="center"/>
              <w:rPr>
                <w:rFonts w:ascii="Calibri" w:hAnsi="Calibri"/>
                <w:b/>
                <w:bCs/>
                <w:color w:val="000000"/>
                <w:kern w:val="0"/>
                <w:sz w:val="20"/>
                <w:szCs w:val="20"/>
              </w:rPr>
            </w:pPr>
            <w:bookmarkStart w:id="6" w:name="分院系（专业）2016届本科生对母校的满意度"/>
            <w:bookmarkEnd w:id="6"/>
            <w:r>
              <w:rPr>
                <w:rFonts w:hint="eastAsia"/>
                <w:b/>
                <w:bCs/>
                <w:color w:val="000000"/>
                <w:sz w:val="20"/>
                <w:szCs w:val="20"/>
              </w:rPr>
              <w:t>院系名称</w:t>
            </w:r>
          </w:p>
        </w:tc>
        <w:tc>
          <w:tcPr>
            <w:tcW w:w="2303" w:type="dxa"/>
            <w:tcBorders>
              <w:top w:val="single" w:sz="8" w:space="0" w:color="FFFFFF"/>
              <w:left w:val="nil"/>
              <w:bottom w:val="nil"/>
              <w:right w:val="single" w:sz="8" w:space="0" w:color="FFFFFF"/>
            </w:tcBorders>
            <w:shd w:val="clear" w:color="000000" w:fill="8DB3E2"/>
            <w:vAlign w:val="center"/>
          </w:tcPr>
          <w:p w:rsidR="00000000" w:rsidRDefault="009A1129">
            <w:pPr>
              <w:spacing w:line="320" w:lineRule="exact"/>
              <w:jc w:val="center"/>
              <w:rPr>
                <w:rFonts w:ascii="Calibri" w:hAnsi="Calibri"/>
                <w:b/>
                <w:bCs/>
                <w:color w:val="000000"/>
                <w:sz w:val="20"/>
                <w:szCs w:val="20"/>
              </w:rPr>
            </w:pPr>
            <w:r>
              <w:rPr>
                <w:rFonts w:hint="eastAsia"/>
                <w:b/>
                <w:bCs/>
                <w:color w:val="000000"/>
                <w:sz w:val="20"/>
                <w:szCs w:val="20"/>
              </w:rPr>
              <w:t>各院系对母校的满意度</w:t>
            </w:r>
          </w:p>
        </w:tc>
        <w:tc>
          <w:tcPr>
            <w:tcW w:w="2416" w:type="dxa"/>
            <w:tcBorders>
              <w:top w:val="single" w:sz="8" w:space="0" w:color="FFFFFF"/>
              <w:left w:val="nil"/>
              <w:bottom w:val="nil"/>
              <w:right w:val="single" w:sz="8" w:space="0" w:color="FFFFFF"/>
            </w:tcBorders>
            <w:shd w:val="clear" w:color="000000" w:fill="8DB3E2"/>
            <w:vAlign w:val="center"/>
          </w:tcPr>
          <w:p w:rsidR="00000000" w:rsidRDefault="009A1129">
            <w:pPr>
              <w:spacing w:line="320" w:lineRule="exact"/>
              <w:jc w:val="center"/>
              <w:rPr>
                <w:rFonts w:ascii="Calibri" w:hAnsi="Calibri"/>
                <w:b/>
                <w:bCs/>
                <w:color w:val="000000"/>
                <w:sz w:val="20"/>
                <w:szCs w:val="20"/>
              </w:rPr>
            </w:pPr>
            <w:r>
              <w:rPr>
                <w:rFonts w:hint="eastAsia"/>
                <w:b/>
                <w:bCs/>
                <w:color w:val="000000"/>
                <w:sz w:val="20"/>
                <w:szCs w:val="20"/>
              </w:rPr>
              <w:t>专业名称</w:t>
            </w:r>
          </w:p>
        </w:tc>
        <w:tc>
          <w:tcPr>
            <w:tcW w:w="2224" w:type="dxa"/>
            <w:tcBorders>
              <w:top w:val="single" w:sz="8" w:space="0" w:color="FFFFFF"/>
              <w:left w:val="nil"/>
              <w:bottom w:val="nil"/>
              <w:right w:val="single" w:sz="8" w:space="0" w:color="FFFFFF"/>
            </w:tcBorders>
            <w:shd w:val="clear" w:color="000000" w:fill="8DB3E2"/>
            <w:vAlign w:val="center"/>
          </w:tcPr>
          <w:p w:rsidR="00000000" w:rsidRDefault="009A1129">
            <w:pPr>
              <w:spacing w:line="320" w:lineRule="exact"/>
              <w:jc w:val="center"/>
              <w:rPr>
                <w:rFonts w:ascii="Calibri" w:hAnsi="Calibri"/>
                <w:b/>
                <w:bCs/>
                <w:color w:val="000000"/>
                <w:sz w:val="20"/>
                <w:szCs w:val="20"/>
              </w:rPr>
            </w:pPr>
            <w:r>
              <w:rPr>
                <w:rFonts w:hint="eastAsia"/>
                <w:b/>
                <w:bCs/>
                <w:color w:val="000000"/>
                <w:sz w:val="20"/>
                <w:szCs w:val="20"/>
              </w:rPr>
              <w:t>各专业对母校的</w:t>
            </w:r>
            <w:r>
              <w:rPr>
                <w:rFonts w:hint="eastAsia"/>
                <w:b/>
                <w:bCs/>
                <w:color w:val="000000"/>
                <w:sz w:val="20"/>
                <w:szCs w:val="20"/>
              </w:rPr>
              <w:t>满意度</w:t>
            </w:r>
          </w:p>
        </w:tc>
      </w:tr>
      <w:tr w:rsidR="00000000">
        <w:trPr>
          <w:trHeight w:val="285"/>
        </w:trPr>
        <w:tc>
          <w:tcPr>
            <w:tcW w:w="1947" w:type="dxa"/>
            <w:vMerge w:val="restart"/>
            <w:tcBorders>
              <w:top w:val="single" w:sz="8" w:space="0" w:color="FFFFFF"/>
              <w:left w:val="single" w:sz="8" w:space="0" w:color="FFFFFF"/>
              <w:bottom w:val="single" w:sz="8" w:space="0" w:color="FFFFFF"/>
              <w:right w:val="single" w:sz="8" w:space="0" w:color="FFFFFF"/>
            </w:tcBorders>
            <w:shd w:val="clear" w:color="000000" w:fill="F6F8FC"/>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经济与管理学部</w:t>
            </w:r>
          </w:p>
        </w:tc>
        <w:tc>
          <w:tcPr>
            <w:tcW w:w="2303" w:type="dxa"/>
            <w:vMerge w:val="restart"/>
            <w:tcBorders>
              <w:top w:val="single" w:sz="8" w:space="0" w:color="FFFFFF"/>
              <w:left w:val="single" w:sz="8" w:space="0" w:color="FFFFFF"/>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99.16</w:t>
            </w:r>
          </w:p>
        </w:tc>
        <w:tc>
          <w:tcPr>
            <w:tcW w:w="2416" w:type="dxa"/>
            <w:tcBorders>
              <w:top w:val="single" w:sz="8" w:space="0" w:color="FFFFFF"/>
              <w:left w:val="nil"/>
              <w:bottom w:val="single" w:sz="8" w:space="0" w:color="FFFFFF"/>
              <w:right w:val="single" w:sz="8" w:space="0" w:color="FFFFFF"/>
            </w:tcBorders>
            <w:shd w:val="clear" w:color="000000" w:fill="F6F8FC"/>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城市管理</w:t>
            </w:r>
          </w:p>
        </w:tc>
        <w:tc>
          <w:tcPr>
            <w:tcW w:w="2224" w:type="dxa"/>
            <w:tcBorders>
              <w:top w:val="single" w:sz="8" w:space="0" w:color="FFFFFF"/>
              <w:left w:val="nil"/>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100.00</w:t>
            </w:r>
          </w:p>
        </w:tc>
      </w:tr>
      <w:tr w:rsidR="00000000">
        <w:trPr>
          <w:trHeight w:val="285"/>
        </w:trPr>
        <w:tc>
          <w:tcPr>
            <w:tcW w:w="1947" w:type="dxa"/>
            <w:vMerge/>
            <w:tcBorders>
              <w:top w:val="single" w:sz="8" w:space="0" w:color="FFFFFF"/>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303" w:type="dxa"/>
            <w:vMerge/>
            <w:tcBorders>
              <w:top w:val="single" w:sz="8" w:space="0" w:color="FFFFFF"/>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416"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行政管理</w:t>
            </w:r>
          </w:p>
        </w:tc>
        <w:tc>
          <w:tcPr>
            <w:tcW w:w="2224"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100.00</w:t>
            </w:r>
          </w:p>
        </w:tc>
      </w:tr>
      <w:tr w:rsidR="00000000">
        <w:trPr>
          <w:trHeight w:val="285"/>
        </w:trPr>
        <w:tc>
          <w:tcPr>
            <w:tcW w:w="1947" w:type="dxa"/>
            <w:vMerge/>
            <w:tcBorders>
              <w:top w:val="single" w:sz="8" w:space="0" w:color="FFFFFF"/>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303" w:type="dxa"/>
            <w:vMerge/>
            <w:tcBorders>
              <w:top w:val="single" w:sz="8" w:space="0" w:color="FFFFFF"/>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416"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市场营销</w:t>
            </w:r>
          </w:p>
        </w:tc>
        <w:tc>
          <w:tcPr>
            <w:tcW w:w="2224"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100.00</w:t>
            </w:r>
          </w:p>
        </w:tc>
      </w:tr>
      <w:tr w:rsidR="00000000">
        <w:trPr>
          <w:trHeight w:val="285"/>
        </w:trPr>
        <w:tc>
          <w:tcPr>
            <w:tcW w:w="1947" w:type="dxa"/>
            <w:vMerge/>
            <w:tcBorders>
              <w:top w:val="single" w:sz="8" w:space="0" w:color="FFFFFF"/>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303" w:type="dxa"/>
            <w:vMerge/>
            <w:tcBorders>
              <w:top w:val="single" w:sz="8" w:space="0" w:color="FFFFFF"/>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416"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会计学</w:t>
            </w:r>
          </w:p>
        </w:tc>
        <w:tc>
          <w:tcPr>
            <w:tcW w:w="2224"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98.61</w:t>
            </w:r>
          </w:p>
        </w:tc>
      </w:tr>
      <w:tr w:rsidR="00000000">
        <w:trPr>
          <w:trHeight w:val="285"/>
        </w:trPr>
        <w:tc>
          <w:tcPr>
            <w:tcW w:w="1947" w:type="dxa"/>
            <w:vMerge/>
            <w:tcBorders>
              <w:top w:val="single" w:sz="8" w:space="0" w:color="FFFFFF"/>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303" w:type="dxa"/>
            <w:vMerge/>
            <w:tcBorders>
              <w:top w:val="single" w:sz="8" w:space="0" w:color="FFFFFF"/>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416"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国际经济与贸易</w:t>
            </w:r>
          </w:p>
        </w:tc>
        <w:tc>
          <w:tcPr>
            <w:tcW w:w="2224"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97.73</w:t>
            </w:r>
          </w:p>
        </w:tc>
      </w:tr>
      <w:tr w:rsidR="00000000">
        <w:trPr>
          <w:trHeight w:val="285"/>
        </w:trPr>
        <w:tc>
          <w:tcPr>
            <w:tcW w:w="1947" w:type="dxa"/>
            <w:vMerge w:val="restart"/>
            <w:tcBorders>
              <w:top w:val="nil"/>
              <w:left w:val="single" w:sz="8" w:space="0" w:color="FFFFFF"/>
              <w:bottom w:val="single" w:sz="8" w:space="0" w:color="FFFFFF"/>
              <w:right w:val="single" w:sz="8" w:space="0" w:color="FFFFFF"/>
            </w:tcBorders>
            <w:shd w:val="clear" w:color="000000" w:fill="C5D5E9"/>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人文学部</w:t>
            </w:r>
          </w:p>
        </w:tc>
        <w:tc>
          <w:tcPr>
            <w:tcW w:w="2303" w:type="dxa"/>
            <w:vMerge w:val="restart"/>
            <w:tcBorders>
              <w:top w:val="nil"/>
              <w:left w:val="single" w:sz="8" w:space="0" w:color="FFFFFF"/>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98.96</w:t>
            </w:r>
          </w:p>
        </w:tc>
        <w:tc>
          <w:tcPr>
            <w:tcW w:w="2416"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动画</w:t>
            </w:r>
          </w:p>
        </w:tc>
        <w:tc>
          <w:tcPr>
            <w:tcW w:w="2224"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100.00</w:t>
            </w:r>
          </w:p>
        </w:tc>
      </w:tr>
      <w:tr w:rsidR="00000000">
        <w:trPr>
          <w:trHeight w:val="285"/>
        </w:trPr>
        <w:tc>
          <w:tcPr>
            <w:tcW w:w="1947"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303"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416"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汉语言文学</w:t>
            </w:r>
          </w:p>
        </w:tc>
        <w:tc>
          <w:tcPr>
            <w:tcW w:w="2224"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100.00</w:t>
            </w:r>
          </w:p>
        </w:tc>
      </w:tr>
      <w:tr w:rsidR="00000000">
        <w:trPr>
          <w:trHeight w:val="285"/>
        </w:trPr>
        <w:tc>
          <w:tcPr>
            <w:tcW w:w="1947"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303"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416"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环境设计</w:t>
            </w:r>
          </w:p>
        </w:tc>
        <w:tc>
          <w:tcPr>
            <w:tcW w:w="2224"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100.00</w:t>
            </w:r>
          </w:p>
        </w:tc>
      </w:tr>
      <w:tr w:rsidR="00000000">
        <w:trPr>
          <w:trHeight w:val="285"/>
        </w:trPr>
        <w:tc>
          <w:tcPr>
            <w:tcW w:w="1947"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303"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416"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视觉传达设计</w:t>
            </w:r>
          </w:p>
        </w:tc>
        <w:tc>
          <w:tcPr>
            <w:tcW w:w="2224"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100.00</w:t>
            </w:r>
          </w:p>
        </w:tc>
      </w:tr>
      <w:tr w:rsidR="00000000">
        <w:trPr>
          <w:trHeight w:val="285"/>
        </w:trPr>
        <w:tc>
          <w:tcPr>
            <w:tcW w:w="1947"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303"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416"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日语</w:t>
            </w:r>
          </w:p>
        </w:tc>
        <w:tc>
          <w:tcPr>
            <w:tcW w:w="2224"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97.44</w:t>
            </w:r>
          </w:p>
        </w:tc>
      </w:tr>
      <w:tr w:rsidR="00000000">
        <w:trPr>
          <w:trHeight w:val="285"/>
        </w:trPr>
        <w:tc>
          <w:tcPr>
            <w:tcW w:w="1947"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303"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416"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英语</w:t>
            </w:r>
          </w:p>
        </w:tc>
        <w:tc>
          <w:tcPr>
            <w:tcW w:w="2224"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97.06</w:t>
            </w:r>
          </w:p>
        </w:tc>
      </w:tr>
      <w:tr w:rsidR="00000000">
        <w:trPr>
          <w:trHeight w:val="285"/>
        </w:trPr>
        <w:tc>
          <w:tcPr>
            <w:tcW w:w="1947" w:type="dxa"/>
            <w:vMerge w:val="restart"/>
            <w:tcBorders>
              <w:top w:val="nil"/>
              <w:left w:val="single" w:sz="8" w:space="0" w:color="FFFFFF"/>
              <w:bottom w:val="single" w:sz="8" w:space="0" w:color="FFFFFF"/>
              <w:right w:val="single" w:sz="8" w:space="0" w:color="FFFFFF"/>
            </w:tcBorders>
            <w:shd w:val="clear" w:color="000000" w:fill="F6F8FC"/>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工程学部</w:t>
            </w:r>
          </w:p>
        </w:tc>
        <w:tc>
          <w:tcPr>
            <w:tcW w:w="2303" w:type="dxa"/>
            <w:vMerge w:val="restart"/>
            <w:tcBorders>
              <w:top w:val="nil"/>
              <w:left w:val="single" w:sz="8" w:space="0" w:color="FFFFFF"/>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97.57</w:t>
            </w:r>
          </w:p>
        </w:tc>
        <w:tc>
          <w:tcPr>
            <w:tcW w:w="2416"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纺织工程</w:t>
            </w:r>
          </w:p>
        </w:tc>
        <w:tc>
          <w:tcPr>
            <w:tcW w:w="2224"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100.00</w:t>
            </w:r>
          </w:p>
        </w:tc>
      </w:tr>
      <w:tr w:rsidR="00000000">
        <w:trPr>
          <w:trHeight w:val="285"/>
        </w:trPr>
        <w:tc>
          <w:tcPr>
            <w:tcW w:w="1947"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303"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416"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服装设计与工程</w:t>
            </w:r>
          </w:p>
        </w:tc>
        <w:tc>
          <w:tcPr>
            <w:tcW w:w="2224"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100.00</w:t>
            </w:r>
          </w:p>
        </w:tc>
      </w:tr>
      <w:tr w:rsidR="00000000">
        <w:trPr>
          <w:trHeight w:val="285"/>
        </w:trPr>
        <w:tc>
          <w:tcPr>
            <w:tcW w:w="1947"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303"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416"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工程管理</w:t>
            </w:r>
          </w:p>
        </w:tc>
        <w:tc>
          <w:tcPr>
            <w:tcW w:w="2224"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100.00</w:t>
            </w:r>
          </w:p>
        </w:tc>
      </w:tr>
      <w:tr w:rsidR="00000000">
        <w:trPr>
          <w:trHeight w:val="285"/>
        </w:trPr>
        <w:tc>
          <w:tcPr>
            <w:tcW w:w="1947"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303"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416"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化学工程与工艺</w:t>
            </w:r>
          </w:p>
        </w:tc>
        <w:tc>
          <w:tcPr>
            <w:tcW w:w="2224"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100</w:t>
            </w:r>
            <w:r>
              <w:rPr>
                <w:rFonts w:ascii="Calibri" w:hAnsi="Calibri"/>
                <w:color w:val="000000"/>
                <w:sz w:val="20"/>
                <w:szCs w:val="20"/>
              </w:rPr>
              <w:t>.00</w:t>
            </w:r>
          </w:p>
        </w:tc>
      </w:tr>
      <w:tr w:rsidR="00000000">
        <w:trPr>
          <w:trHeight w:val="285"/>
        </w:trPr>
        <w:tc>
          <w:tcPr>
            <w:tcW w:w="1947"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303"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416"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服装与服饰设计</w:t>
            </w:r>
          </w:p>
        </w:tc>
        <w:tc>
          <w:tcPr>
            <w:tcW w:w="2224"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98.28</w:t>
            </w:r>
          </w:p>
        </w:tc>
      </w:tr>
      <w:tr w:rsidR="00000000">
        <w:trPr>
          <w:trHeight w:val="285"/>
        </w:trPr>
        <w:tc>
          <w:tcPr>
            <w:tcW w:w="1947"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303"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416"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土木工程</w:t>
            </w:r>
          </w:p>
        </w:tc>
        <w:tc>
          <w:tcPr>
            <w:tcW w:w="2224"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98.00</w:t>
            </w:r>
          </w:p>
        </w:tc>
      </w:tr>
      <w:tr w:rsidR="00000000">
        <w:trPr>
          <w:trHeight w:val="285"/>
        </w:trPr>
        <w:tc>
          <w:tcPr>
            <w:tcW w:w="1947"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303"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416"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机械工程</w:t>
            </w:r>
          </w:p>
        </w:tc>
        <w:tc>
          <w:tcPr>
            <w:tcW w:w="2224"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93.88</w:t>
            </w:r>
          </w:p>
        </w:tc>
      </w:tr>
      <w:tr w:rsidR="00000000">
        <w:trPr>
          <w:trHeight w:val="285"/>
        </w:trPr>
        <w:tc>
          <w:tcPr>
            <w:tcW w:w="1947"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303"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416"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轻化工程</w:t>
            </w:r>
          </w:p>
        </w:tc>
        <w:tc>
          <w:tcPr>
            <w:tcW w:w="2224"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87.50</w:t>
            </w:r>
          </w:p>
        </w:tc>
      </w:tr>
      <w:tr w:rsidR="00000000">
        <w:trPr>
          <w:trHeight w:val="285"/>
        </w:trPr>
        <w:tc>
          <w:tcPr>
            <w:tcW w:w="1947" w:type="dxa"/>
            <w:vMerge w:val="restart"/>
            <w:tcBorders>
              <w:top w:val="nil"/>
              <w:left w:val="single" w:sz="8" w:space="0" w:color="FFFFFF"/>
              <w:bottom w:val="single" w:sz="8" w:space="0" w:color="FFFFFF"/>
              <w:right w:val="single" w:sz="8" w:space="0" w:color="FFFFFF"/>
            </w:tcBorders>
            <w:shd w:val="clear" w:color="000000" w:fill="C5D5E9"/>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理学部</w:t>
            </w:r>
          </w:p>
        </w:tc>
        <w:tc>
          <w:tcPr>
            <w:tcW w:w="2303" w:type="dxa"/>
            <w:vMerge w:val="restart"/>
            <w:tcBorders>
              <w:top w:val="nil"/>
              <w:left w:val="single" w:sz="8" w:space="0" w:color="FFFFFF"/>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96.95</w:t>
            </w:r>
          </w:p>
        </w:tc>
        <w:tc>
          <w:tcPr>
            <w:tcW w:w="2416"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海洋技术</w:t>
            </w:r>
          </w:p>
        </w:tc>
        <w:tc>
          <w:tcPr>
            <w:tcW w:w="2224"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100.00</w:t>
            </w:r>
          </w:p>
        </w:tc>
      </w:tr>
      <w:tr w:rsidR="00000000">
        <w:trPr>
          <w:trHeight w:val="285"/>
        </w:trPr>
        <w:tc>
          <w:tcPr>
            <w:tcW w:w="1947"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303"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416"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应用心理学</w:t>
            </w:r>
          </w:p>
        </w:tc>
        <w:tc>
          <w:tcPr>
            <w:tcW w:w="2224"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100.00</w:t>
            </w:r>
          </w:p>
        </w:tc>
      </w:tr>
      <w:tr w:rsidR="00000000">
        <w:trPr>
          <w:trHeight w:val="285"/>
        </w:trPr>
        <w:tc>
          <w:tcPr>
            <w:tcW w:w="1947"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303"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416"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自然地理与资源环境</w:t>
            </w:r>
          </w:p>
        </w:tc>
        <w:tc>
          <w:tcPr>
            <w:tcW w:w="2224"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94.74</w:t>
            </w:r>
          </w:p>
        </w:tc>
      </w:tr>
      <w:tr w:rsidR="00000000">
        <w:trPr>
          <w:trHeight w:val="285"/>
        </w:trPr>
        <w:tc>
          <w:tcPr>
            <w:tcW w:w="1947"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303"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416"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应用统计学</w:t>
            </w:r>
          </w:p>
        </w:tc>
        <w:tc>
          <w:tcPr>
            <w:tcW w:w="2224"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93.62</w:t>
            </w:r>
          </w:p>
        </w:tc>
      </w:tr>
      <w:tr w:rsidR="00000000">
        <w:trPr>
          <w:trHeight w:val="285"/>
        </w:trPr>
        <w:tc>
          <w:tcPr>
            <w:tcW w:w="1947" w:type="dxa"/>
            <w:vMerge w:val="restart"/>
            <w:tcBorders>
              <w:top w:val="nil"/>
              <w:left w:val="single" w:sz="8" w:space="0" w:color="FFFFFF"/>
              <w:bottom w:val="single" w:sz="8" w:space="0" w:color="FFFFFF"/>
              <w:right w:val="single" w:sz="8" w:space="0" w:color="FFFFFF"/>
            </w:tcBorders>
            <w:shd w:val="clear" w:color="000000" w:fill="F6F8FC"/>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lastRenderedPageBreak/>
              <w:t>医学部</w:t>
            </w:r>
            <w:r>
              <w:rPr>
                <w:rFonts w:ascii="Calibri" w:hAnsi="Calibri"/>
                <w:color w:val="000000"/>
                <w:sz w:val="20"/>
                <w:szCs w:val="20"/>
              </w:rPr>
              <w:t>(</w:t>
            </w:r>
            <w:r>
              <w:rPr>
                <w:rFonts w:ascii="Calibri" w:hAnsi="Calibri"/>
                <w:color w:val="000000"/>
                <w:sz w:val="20"/>
                <w:szCs w:val="20"/>
              </w:rPr>
              <w:t>四）</w:t>
            </w:r>
          </w:p>
        </w:tc>
        <w:tc>
          <w:tcPr>
            <w:tcW w:w="2303" w:type="dxa"/>
            <w:vMerge w:val="restart"/>
            <w:tcBorders>
              <w:top w:val="nil"/>
              <w:left w:val="single" w:sz="8" w:space="0" w:color="FFFFFF"/>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96.64</w:t>
            </w:r>
          </w:p>
        </w:tc>
        <w:tc>
          <w:tcPr>
            <w:tcW w:w="2416"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医学影像技术</w:t>
            </w:r>
          </w:p>
        </w:tc>
        <w:tc>
          <w:tcPr>
            <w:tcW w:w="2224"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100.00</w:t>
            </w:r>
          </w:p>
        </w:tc>
      </w:tr>
      <w:tr w:rsidR="00000000">
        <w:trPr>
          <w:trHeight w:val="285"/>
        </w:trPr>
        <w:tc>
          <w:tcPr>
            <w:tcW w:w="1947"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303"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416"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医学检验技术</w:t>
            </w:r>
          </w:p>
        </w:tc>
        <w:tc>
          <w:tcPr>
            <w:tcW w:w="2224"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98.08</w:t>
            </w:r>
          </w:p>
        </w:tc>
      </w:tr>
      <w:tr w:rsidR="00000000">
        <w:trPr>
          <w:trHeight w:val="285"/>
        </w:trPr>
        <w:tc>
          <w:tcPr>
            <w:tcW w:w="1947"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303"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416"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护理学</w:t>
            </w:r>
          </w:p>
        </w:tc>
        <w:tc>
          <w:tcPr>
            <w:tcW w:w="2224"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96.24</w:t>
            </w:r>
          </w:p>
        </w:tc>
      </w:tr>
      <w:tr w:rsidR="00000000">
        <w:trPr>
          <w:trHeight w:val="285"/>
        </w:trPr>
        <w:tc>
          <w:tcPr>
            <w:tcW w:w="1947"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303"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416"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医学实验技术</w:t>
            </w:r>
          </w:p>
        </w:tc>
        <w:tc>
          <w:tcPr>
            <w:tcW w:w="2224"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88.89</w:t>
            </w:r>
          </w:p>
        </w:tc>
      </w:tr>
      <w:tr w:rsidR="00000000">
        <w:trPr>
          <w:trHeight w:val="285"/>
        </w:trPr>
        <w:tc>
          <w:tcPr>
            <w:tcW w:w="1947" w:type="dxa"/>
            <w:vMerge w:val="restart"/>
            <w:tcBorders>
              <w:top w:val="nil"/>
              <w:left w:val="single" w:sz="8" w:space="0" w:color="FFFFFF"/>
              <w:bottom w:val="single" w:sz="8" w:space="0" w:color="FFFFFF"/>
              <w:right w:val="single" w:sz="8" w:space="0" w:color="FFFFFF"/>
            </w:tcBorders>
            <w:shd w:val="clear" w:color="000000" w:fill="C5D5E9"/>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信息科学部</w:t>
            </w:r>
          </w:p>
        </w:tc>
        <w:tc>
          <w:tcPr>
            <w:tcW w:w="2303" w:type="dxa"/>
            <w:vMerge w:val="restart"/>
            <w:tcBorders>
              <w:top w:val="nil"/>
              <w:left w:val="single" w:sz="8" w:space="0" w:color="FFFFFF"/>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96.46</w:t>
            </w:r>
          </w:p>
        </w:tc>
        <w:tc>
          <w:tcPr>
            <w:tcW w:w="2416"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微电子科学与工程</w:t>
            </w:r>
          </w:p>
        </w:tc>
        <w:tc>
          <w:tcPr>
            <w:tcW w:w="2224"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100.00</w:t>
            </w:r>
          </w:p>
        </w:tc>
      </w:tr>
      <w:tr w:rsidR="00000000">
        <w:trPr>
          <w:trHeight w:val="285"/>
        </w:trPr>
        <w:tc>
          <w:tcPr>
            <w:tcW w:w="1947"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303"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416"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自动化</w:t>
            </w:r>
          </w:p>
        </w:tc>
        <w:tc>
          <w:tcPr>
            <w:tcW w:w="2224"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98.15</w:t>
            </w:r>
          </w:p>
        </w:tc>
      </w:tr>
      <w:tr w:rsidR="00000000">
        <w:trPr>
          <w:trHeight w:val="285"/>
        </w:trPr>
        <w:tc>
          <w:tcPr>
            <w:tcW w:w="1947"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303"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416"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集成</w:t>
            </w:r>
            <w:r>
              <w:rPr>
                <w:rFonts w:ascii="Calibri" w:hAnsi="Calibri"/>
                <w:color w:val="000000"/>
                <w:sz w:val="20"/>
                <w:szCs w:val="20"/>
              </w:rPr>
              <w:t>电路设计与集成系统</w:t>
            </w:r>
          </w:p>
        </w:tc>
        <w:tc>
          <w:tcPr>
            <w:tcW w:w="2224"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98.04</w:t>
            </w:r>
          </w:p>
        </w:tc>
      </w:tr>
      <w:tr w:rsidR="00000000">
        <w:trPr>
          <w:trHeight w:val="285"/>
        </w:trPr>
        <w:tc>
          <w:tcPr>
            <w:tcW w:w="1947"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303"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416"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物联网工程</w:t>
            </w:r>
          </w:p>
        </w:tc>
        <w:tc>
          <w:tcPr>
            <w:tcW w:w="2224"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96.15</w:t>
            </w:r>
          </w:p>
        </w:tc>
      </w:tr>
      <w:tr w:rsidR="00000000">
        <w:trPr>
          <w:trHeight w:val="285"/>
        </w:trPr>
        <w:tc>
          <w:tcPr>
            <w:tcW w:w="1947"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303"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416"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计算机科学与技术</w:t>
            </w:r>
          </w:p>
        </w:tc>
        <w:tc>
          <w:tcPr>
            <w:tcW w:w="2224"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94.87</w:t>
            </w:r>
          </w:p>
        </w:tc>
      </w:tr>
      <w:tr w:rsidR="00000000">
        <w:trPr>
          <w:trHeight w:val="285"/>
        </w:trPr>
        <w:tc>
          <w:tcPr>
            <w:tcW w:w="1947"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303"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416"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电子信息工程</w:t>
            </w:r>
          </w:p>
        </w:tc>
        <w:tc>
          <w:tcPr>
            <w:tcW w:w="2224"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92.11</w:t>
            </w:r>
          </w:p>
        </w:tc>
      </w:tr>
      <w:tr w:rsidR="00000000">
        <w:trPr>
          <w:trHeight w:val="285"/>
        </w:trPr>
        <w:tc>
          <w:tcPr>
            <w:tcW w:w="1947" w:type="dxa"/>
            <w:vMerge w:val="restart"/>
            <w:tcBorders>
              <w:top w:val="nil"/>
              <w:left w:val="single" w:sz="8" w:space="0" w:color="FFFFFF"/>
              <w:bottom w:val="single" w:sz="8" w:space="0" w:color="FFFFFF"/>
              <w:right w:val="single" w:sz="8" w:space="0" w:color="FFFFFF"/>
            </w:tcBorders>
            <w:shd w:val="clear" w:color="000000" w:fill="F6F8FC"/>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医学部（五）</w:t>
            </w:r>
          </w:p>
        </w:tc>
        <w:tc>
          <w:tcPr>
            <w:tcW w:w="2303" w:type="dxa"/>
            <w:vMerge w:val="restart"/>
            <w:tcBorders>
              <w:top w:val="nil"/>
              <w:left w:val="single" w:sz="8" w:space="0" w:color="FFFFFF"/>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95.96</w:t>
            </w:r>
          </w:p>
        </w:tc>
        <w:tc>
          <w:tcPr>
            <w:tcW w:w="2416"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临床医学（全科医学）</w:t>
            </w:r>
          </w:p>
        </w:tc>
        <w:tc>
          <w:tcPr>
            <w:tcW w:w="2224"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97.50</w:t>
            </w:r>
          </w:p>
        </w:tc>
      </w:tr>
      <w:tr w:rsidR="00000000">
        <w:trPr>
          <w:trHeight w:val="285"/>
        </w:trPr>
        <w:tc>
          <w:tcPr>
            <w:tcW w:w="1947"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303" w:type="dxa"/>
            <w:vMerge/>
            <w:tcBorders>
              <w:top w:val="nil"/>
              <w:left w:val="single" w:sz="8" w:space="0" w:color="FFFFFF"/>
              <w:bottom w:val="single" w:sz="8" w:space="0" w:color="FFFFFF"/>
              <w:right w:val="single" w:sz="8" w:space="0" w:color="FFFFFF"/>
            </w:tcBorders>
            <w:shd w:val="clear" w:color="auto" w:fill="auto"/>
            <w:vAlign w:val="center"/>
          </w:tcPr>
          <w:p w:rsidR="00000000" w:rsidRDefault="009A1129">
            <w:pPr>
              <w:spacing w:line="320" w:lineRule="exact"/>
              <w:rPr>
                <w:rFonts w:ascii="Calibri" w:hAnsi="Calibri" w:cs="宋体"/>
                <w:color w:val="000000"/>
                <w:sz w:val="20"/>
                <w:szCs w:val="20"/>
              </w:rPr>
            </w:pPr>
          </w:p>
        </w:tc>
        <w:tc>
          <w:tcPr>
            <w:tcW w:w="2416"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left"/>
              <w:rPr>
                <w:rFonts w:ascii="Calibri" w:hAnsi="Calibri"/>
                <w:color w:val="000000"/>
                <w:sz w:val="20"/>
                <w:szCs w:val="20"/>
              </w:rPr>
            </w:pPr>
            <w:r>
              <w:rPr>
                <w:rFonts w:ascii="Calibri" w:hAnsi="Calibri"/>
                <w:color w:val="000000"/>
                <w:sz w:val="20"/>
                <w:szCs w:val="20"/>
              </w:rPr>
              <w:t>临床医学</w:t>
            </w:r>
          </w:p>
        </w:tc>
        <w:tc>
          <w:tcPr>
            <w:tcW w:w="2224" w:type="dxa"/>
            <w:tcBorders>
              <w:top w:val="nil"/>
              <w:left w:val="nil"/>
              <w:bottom w:val="single" w:sz="8" w:space="0" w:color="FFFFFF"/>
              <w:right w:val="single" w:sz="8" w:space="0" w:color="FFFFFF"/>
            </w:tcBorders>
            <w:shd w:val="clear" w:color="000000" w:fill="F6F8FC"/>
            <w:vAlign w:val="center"/>
          </w:tcPr>
          <w:p w:rsidR="00000000" w:rsidRDefault="009A1129">
            <w:pPr>
              <w:spacing w:line="320" w:lineRule="exact"/>
              <w:jc w:val="center"/>
              <w:rPr>
                <w:rFonts w:ascii="Calibri" w:hAnsi="Calibri"/>
                <w:color w:val="000000"/>
                <w:sz w:val="20"/>
                <w:szCs w:val="20"/>
              </w:rPr>
            </w:pPr>
            <w:r>
              <w:rPr>
                <w:rFonts w:ascii="Calibri" w:hAnsi="Calibri"/>
                <w:color w:val="000000"/>
                <w:sz w:val="20"/>
                <w:szCs w:val="20"/>
              </w:rPr>
              <w:t>95.57</w:t>
            </w:r>
          </w:p>
        </w:tc>
      </w:tr>
      <w:tr w:rsidR="00000000">
        <w:trPr>
          <w:trHeight w:val="285"/>
        </w:trPr>
        <w:tc>
          <w:tcPr>
            <w:tcW w:w="1947" w:type="dxa"/>
            <w:tcBorders>
              <w:top w:val="nil"/>
              <w:left w:val="single" w:sz="8" w:space="0" w:color="FFFFFF"/>
              <w:bottom w:val="single" w:sz="8" w:space="0" w:color="FFFFFF"/>
              <w:right w:val="single" w:sz="8" w:space="0" w:color="FFFFFF"/>
            </w:tcBorders>
            <w:shd w:val="clear" w:color="000000" w:fill="C5D5E9"/>
            <w:vAlign w:val="center"/>
          </w:tcPr>
          <w:p w:rsidR="00000000" w:rsidRDefault="009A1129">
            <w:pPr>
              <w:spacing w:line="320" w:lineRule="exact"/>
              <w:jc w:val="left"/>
              <w:rPr>
                <w:rFonts w:ascii="Calibri" w:hAnsi="Calibri"/>
                <w:b/>
                <w:bCs/>
                <w:color w:val="000000"/>
                <w:sz w:val="20"/>
                <w:szCs w:val="20"/>
              </w:rPr>
            </w:pPr>
            <w:r>
              <w:rPr>
                <w:rFonts w:ascii="Calibri" w:hAnsi="Calibri"/>
                <w:b/>
                <w:bCs/>
                <w:color w:val="000000"/>
                <w:sz w:val="20"/>
                <w:szCs w:val="20"/>
              </w:rPr>
              <w:t>本校本科平均</w:t>
            </w:r>
          </w:p>
        </w:tc>
        <w:tc>
          <w:tcPr>
            <w:tcW w:w="2303"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b/>
                <w:bCs/>
                <w:color w:val="000000"/>
                <w:sz w:val="20"/>
                <w:szCs w:val="20"/>
              </w:rPr>
            </w:pPr>
            <w:r>
              <w:rPr>
                <w:rFonts w:ascii="Calibri" w:hAnsi="Calibri"/>
                <w:b/>
                <w:bCs/>
                <w:color w:val="000000"/>
                <w:sz w:val="20"/>
                <w:szCs w:val="20"/>
              </w:rPr>
              <w:t>97.26</w:t>
            </w:r>
          </w:p>
        </w:tc>
        <w:tc>
          <w:tcPr>
            <w:tcW w:w="2416"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left"/>
              <w:rPr>
                <w:rFonts w:ascii="Calibri" w:hAnsi="Calibri"/>
                <w:b/>
                <w:bCs/>
                <w:color w:val="000000"/>
                <w:sz w:val="20"/>
                <w:szCs w:val="20"/>
              </w:rPr>
            </w:pPr>
            <w:r>
              <w:rPr>
                <w:rFonts w:ascii="Calibri" w:hAnsi="Calibri"/>
                <w:b/>
                <w:bCs/>
                <w:color w:val="000000"/>
                <w:sz w:val="20"/>
                <w:szCs w:val="20"/>
              </w:rPr>
              <w:t>本校本科平均</w:t>
            </w:r>
          </w:p>
        </w:tc>
        <w:tc>
          <w:tcPr>
            <w:tcW w:w="2224" w:type="dxa"/>
            <w:tcBorders>
              <w:top w:val="nil"/>
              <w:left w:val="nil"/>
              <w:bottom w:val="single" w:sz="8" w:space="0" w:color="FFFFFF"/>
              <w:right w:val="single" w:sz="8" w:space="0" w:color="FFFFFF"/>
            </w:tcBorders>
            <w:shd w:val="clear" w:color="000000" w:fill="C5D5E9"/>
            <w:vAlign w:val="center"/>
          </w:tcPr>
          <w:p w:rsidR="00000000" w:rsidRDefault="009A1129">
            <w:pPr>
              <w:spacing w:line="320" w:lineRule="exact"/>
              <w:jc w:val="center"/>
              <w:rPr>
                <w:rFonts w:ascii="Calibri" w:hAnsi="Calibri"/>
                <w:b/>
                <w:bCs/>
                <w:color w:val="000000"/>
                <w:sz w:val="20"/>
                <w:szCs w:val="20"/>
              </w:rPr>
            </w:pPr>
            <w:r>
              <w:rPr>
                <w:rFonts w:ascii="Calibri" w:hAnsi="Calibri"/>
                <w:b/>
                <w:bCs/>
                <w:color w:val="000000"/>
                <w:sz w:val="20"/>
                <w:szCs w:val="20"/>
              </w:rPr>
              <w:t>97.26</w:t>
            </w:r>
          </w:p>
        </w:tc>
      </w:tr>
    </w:tbl>
    <w:p w:rsidR="00000000" w:rsidRDefault="009A1129">
      <w:pPr>
        <w:autoSpaceDE w:val="0"/>
        <w:autoSpaceDN w:val="0"/>
        <w:adjustRightInd w:val="0"/>
        <w:spacing w:line="480" w:lineRule="auto"/>
        <w:jc w:val="center"/>
        <w:rPr>
          <w:rFonts w:ascii="楷体_GB2312" w:eastAsia="楷体_GB2312" w:hAnsi="楷体_GB2312" w:cs="楷体_GB2312" w:hint="eastAsia"/>
          <w:b/>
          <w:bCs/>
          <w:sz w:val="28"/>
          <w:szCs w:val="28"/>
        </w:rPr>
      </w:pPr>
    </w:p>
    <w:p w:rsidR="00000000" w:rsidRDefault="009A1129">
      <w:pPr>
        <w:numPr>
          <w:ilvl w:val="0"/>
          <w:numId w:val="7"/>
        </w:numPr>
        <w:spacing w:line="480" w:lineRule="auto"/>
        <w:jc w:val="left"/>
        <w:rPr>
          <w:rFonts w:ascii="楷体_GB2312" w:eastAsia="楷体_GB2312" w:hAnsi="楷体_GB2312" w:cs="楷体_GB2312" w:hint="eastAsia"/>
          <w:b/>
          <w:bCs/>
          <w:sz w:val="32"/>
          <w:szCs w:val="32"/>
        </w:rPr>
      </w:pPr>
      <w:r>
        <w:rPr>
          <w:rFonts w:ascii="楷体_GB2312" w:eastAsia="楷体_GB2312" w:hAnsi="楷体_GB2312" w:cs="楷体_GB2312" w:hint="eastAsia"/>
          <w:b/>
          <w:bCs/>
          <w:sz w:val="32"/>
          <w:szCs w:val="32"/>
        </w:rPr>
        <w:t>对</w:t>
      </w:r>
      <w:r>
        <w:rPr>
          <w:rFonts w:ascii="楷体_GB2312" w:eastAsia="楷体_GB2312" w:hAnsi="楷体_GB2312" w:cs="楷体_GB2312" w:hint="eastAsia"/>
          <w:b/>
          <w:bCs/>
          <w:sz w:val="32"/>
          <w:szCs w:val="32"/>
        </w:rPr>
        <w:t>教育教学</w:t>
      </w:r>
      <w:r>
        <w:rPr>
          <w:rFonts w:ascii="楷体_GB2312" w:eastAsia="楷体_GB2312" w:hAnsi="楷体_GB2312" w:cs="楷体_GB2312" w:hint="eastAsia"/>
          <w:b/>
          <w:bCs/>
          <w:sz w:val="32"/>
          <w:szCs w:val="32"/>
        </w:rPr>
        <w:t>反馈</w:t>
      </w:r>
    </w:p>
    <w:p w:rsidR="00000000" w:rsidRDefault="009A1129">
      <w:pPr>
        <w:spacing w:line="480" w:lineRule="auto"/>
        <w:rPr>
          <w:rFonts w:ascii="楷体_GB2312" w:eastAsia="楷体_GB2312" w:hAnsi="楷体_GB2312" w:cs="楷体_GB2312" w:hint="eastAsia"/>
          <w:b/>
          <w:sz w:val="28"/>
          <w:szCs w:val="28"/>
        </w:rPr>
      </w:pPr>
      <w:r>
        <w:rPr>
          <w:rFonts w:ascii="楷体_GB2312" w:eastAsia="楷体_GB2312" w:hAnsi="楷体_GB2312" w:cs="楷体_GB2312" w:hint="eastAsia"/>
          <w:b/>
          <w:sz w:val="32"/>
          <w:szCs w:val="32"/>
        </w:rPr>
        <w:t>（一）</w:t>
      </w:r>
      <w:r>
        <w:rPr>
          <w:rFonts w:ascii="楷体_GB2312" w:eastAsia="楷体_GB2312" w:hAnsi="楷体_GB2312" w:cs="楷体_GB2312" w:hint="eastAsia"/>
          <w:b/>
          <w:sz w:val="32"/>
          <w:szCs w:val="32"/>
        </w:rPr>
        <w:t>对学习环境评价</w:t>
      </w:r>
    </w:p>
    <w:p w:rsidR="00000000" w:rsidRDefault="009A1129">
      <w:pPr>
        <w:autoSpaceDE w:val="0"/>
        <w:autoSpaceDN w:val="0"/>
        <w:adjustRightInd w:val="0"/>
        <w:spacing w:line="520" w:lineRule="exact"/>
        <w:ind w:firstLineChars="200" w:firstLine="560"/>
        <w:jc w:val="left"/>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我院</w:t>
      </w:r>
      <w:r>
        <w:rPr>
          <w:rFonts w:ascii="楷体_GB2312" w:eastAsia="楷体_GB2312" w:hAnsi="楷体_GB2312" w:cs="楷体_GB2312" w:hint="eastAsia"/>
          <w:kern w:val="0"/>
          <w:sz w:val="28"/>
          <w:szCs w:val="28"/>
        </w:rPr>
        <w:t>2017</w:t>
      </w:r>
      <w:r>
        <w:rPr>
          <w:rFonts w:ascii="楷体_GB2312" w:eastAsia="楷体_GB2312" w:hAnsi="楷体_GB2312" w:cs="楷体_GB2312" w:hint="eastAsia"/>
          <w:kern w:val="0"/>
          <w:sz w:val="28"/>
          <w:szCs w:val="28"/>
        </w:rPr>
        <w:t>届毕业生对在校学习环境的整体满意度为</w:t>
      </w:r>
      <w:r>
        <w:rPr>
          <w:rFonts w:ascii="楷体_GB2312" w:eastAsia="楷体_GB2312" w:hAnsi="楷体_GB2312" w:cs="楷体_GB2312" w:hint="eastAsia"/>
          <w:kern w:val="0"/>
          <w:sz w:val="28"/>
          <w:szCs w:val="28"/>
        </w:rPr>
        <w:t>94.46%</w:t>
      </w:r>
      <w:r>
        <w:rPr>
          <w:rFonts w:ascii="楷体_GB2312" w:eastAsia="楷体_GB2312" w:hAnsi="楷体_GB2312" w:cs="楷体_GB2312" w:hint="eastAsia"/>
          <w:kern w:val="0"/>
          <w:sz w:val="28"/>
          <w:szCs w:val="28"/>
        </w:rPr>
        <w:t>，其中非常满意的占</w:t>
      </w:r>
      <w:r>
        <w:rPr>
          <w:rFonts w:ascii="楷体_GB2312" w:eastAsia="楷体_GB2312" w:hAnsi="楷体_GB2312" w:cs="楷体_GB2312" w:hint="eastAsia"/>
          <w:kern w:val="0"/>
          <w:sz w:val="28"/>
          <w:szCs w:val="28"/>
        </w:rPr>
        <w:t>38.85%</w:t>
      </w:r>
      <w:r>
        <w:rPr>
          <w:rFonts w:ascii="楷体_GB2312" w:eastAsia="楷体_GB2312" w:hAnsi="楷体_GB2312" w:cs="楷体_GB2312" w:hint="eastAsia"/>
          <w:kern w:val="0"/>
          <w:sz w:val="28"/>
          <w:szCs w:val="28"/>
        </w:rPr>
        <w:t>（见图</w:t>
      </w:r>
      <w:r>
        <w:rPr>
          <w:rFonts w:ascii="楷体_GB2312" w:eastAsia="楷体_GB2312" w:hAnsi="楷体_GB2312" w:cs="楷体_GB2312" w:hint="eastAsia"/>
          <w:kern w:val="0"/>
          <w:sz w:val="28"/>
          <w:szCs w:val="28"/>
        </w:rPr>
        <w:t>4-1</w:t>
      </w:r>
      <w:r>
        <w:rPr>
          <w:rFonts w:ascii="楷体_GB2312" w:eastAsia="楷体_GB2312" w:hAnsi="楷体_GB2312" w:cs="楷体_GB2312" w:hint="eastAsia"/>
          <w:kern w:val="0"/>
          <w:sz w:val="28"/>
          <w:szCs w:val="28"/>
        </w:rPr>
        <w:t>）。毕业生反映需要改进和提高的方面主要集中在校园网络建设和教室设备与服务</w:t>
      </w:r>
      <w:r>
        <w:rPr>
          <w:rFonts w:ascii="楷体_GB2312" w:eastAsia="楷体_GB2312" w:hAnsi="楷体_GB2312" w:cs="楷体_GB2312" w:hint="eastAsia"/>
          <w:kern w:val="0"/>
          <w:sz w:val="28"/>
          <w:szCs w:val="28"/>
        </w:rPr>
        <w:t>(</w:t>
      </w:r>
      <w:r>
        <w:rPr>
          <w:rFonts w:ascii="楷体_GB2312" w:eastAsia="楷体_GB2312" w:hAnsi="楷体_GB2312" w:cs="楷体_GB2312" w:hint="eastAsia"/>
          <w:kern w:val="0"/>
          <w:sz w:val="28"/>
          <w:szCs w:val="28"/>
        </w:rPr>
        <w:t>见图</w:t>
      </w:r>
      <w:r>
        <w:rPr>
          <w:rFonts w:ascii="楷体_GB2312" w:eastAsia="楷体_GB2312" w:hAnsi="楷体_GB2312" w:cs="楷体_GB2312" w:hint="eastAsia"/>
          <w:kern w:val="0"/>
          <w:sz w:val="28"/>
          <w:szCs w:val="28"/>
        </w:rPr>
        <w:t>4-2</w:t>
      </w:r>
      <w:r>
        <w:rPr>
          <w:rFonts w:ascii="楷体_GB2312" w:eastAsia="楷体_GB2312" w:hAnsi="楷体_GB2312" w:cs="楷体_GB2312" w:hint="eastAsia"/>
          <w:kern w:val="0"/>
          <w:sz w:val="28"/>
          <w:szCs w:val="28"/>
        </w:rPr>
        <w:t>）。</w:t>
      </w:r>
    </w:p>
    <w:bookmarkStart w:id="7" w:name="_1574777487"/>
    <w:bookmarkEnd w:id="7"/>
    <w:p w:rsidR="00000000" w:rsidRDefault="009A1129">
      <w:pPr>
        <w:pStyle w:val="a8"/>
        <w:spacing w:line="360" w:lineRule="auto"/>
        <w:ind w:left="0"/>
        <w:rPr>
          <w:rFonts w:ascii="楷体_GB2312" w:eastAsia="楷体_GB2312" w:hAnsi="楷体_GB2312" w:cs="楷体_GB2312" w:hint="eastAsia"/>
          <w:bCs/>
          <w:sz w:val="28"/>
          <w:szCs w:val="28"/>
        </w:rPr>
      </w:pPr>
      <w:r>
        <w:object w:dxaOrig="8205" w:dyaOrig="3961">
          <v:shape id="对象 34" o:spid="_x0000_i1028" type="#_x0000_t75" style="width:410.25pt;height:198pt;mso-wrap-style:square;mso-position-horizontal-relative:page;mso-position-vertical-relative:page" o:ole="">
            <v:fill o:detectmouseclick="t"/>
            <v:imagedata r:id="rId28" o:title=""/>
          </v:shape>
          <o:OLEObject Type="Embed" ProgID="Excel.Sheet.12" ShapeID="对象 34" DrawAspect="Content" ObjectID="_1598980132" r:id="rId29"/>
        </w:object>
      </w:r>
      <w:r>
        <w:rPr>
          <w:rFonts w:ascii="楷体_GB2312" w:eastAsia="楷体_GB2312" w:hAnsi="楷体_GB2312" w:cs="楷体_GB2312" w:hint="eastAsia"/>
          <w:bCs/>
          <w:sz w:val="28"/>
          <w:szCs w:val="28"/>
        </w:rPr>
        <w:t>图</w:t>
      </w:r>
      <w:r>
        <w:rPr>
          <w:rFonts w:ascii="楷体_GB2312" w:eastAsia="楷体_GB2312" w:hAnsi="楷体_GB2312" w:cs="楷体_GB2312" w:hint="eastAsia"/>
          <w:bCs/>
          <w:sz w:val="28"/>
          <w:szCs w:val="28"/>
        </w:rPr>
        <w:t xml:space="preserve">4-1 </w:t>
      </w:r>
      <w:bookmarkStart w:id="8" w:name="_Toc468717604"/>
      <w:r>
        <w:rPr>
          <w:rFonts w:ascii="楷体_GB2312" w:eastAsia="楷体_GB2312" w:hAnsi="楷体_GB2312" w:cs="楷体_GB2312" w:hint="eastAsia"/>
          <w:bCs/>
          <w:sz w:val="28"/>
          <w:szCs w:val="28"/>
        </w:rPr>
        <w:t>2017</w:t>
      </w:r>
      <w:r>
        <w:rPr>
          <w:rFonts w:ascii="楷体_GB2312" w:eastAsia="楷体_GB2312" w:hAnsi="楷体_GB2312" w:cs="楷体_GB2312" w:hint="eastAsia"/>
          <w:bCs/>
          <w:sz w:val="28"/>
          <w:szCs w:val="28"/>
        </w:rPr>
        <w:t>届毕业生对母校学习环境的满意</w:t>
      </w:r>
      <w:r>
        <w:rPr>
          <w:rFonts w:ascii="楷体_GB2312" w:eastAsia="楷体_GB2312" w:hAnsi="楷体_GB2312" w:cs="楷体_GB2312" w:hint="eastAsia"/>
          <w:bCs/>
          <w:sz w:val="28"/>
          <w:szCs w:val="28"/>
        </w:rPr>
        <w:t>度</w:t>
      </w:r>
      <w:bookmarkEnd w:id="8"/>
    </w:p>
    <w:bookmarkStart w:id="9" w:name="_1574777559"/>
    <w:bookmarkEnd w:id="9"/>
    <w:p w:rsidR="00000000" w:rsidRDefault="009A1129">
      <w:pPr>
        <w:rPr>
          <w:rFonts w:ascii="Calibri" w:hAnsi="Calibri"/>
          <w:b/>
        </w:rPr>
      </w:pPr>
      <w:r>
        <w:rPr>
          <w:rFonts w:ascii="Calibri" w:hAnsi="Calibri"/>
          <w:b/>
        </w:rPr>
        <w:object w:dxaOrig="8205" w:dyaOrig="3871">
          <v:shape id="对象 29" o:spid="_x0000_i1029" type="#_x0000_t75" style="width:410.25pt;height:193.5pt;mso-wrap-style:square;mso-position-horizontal-relative:page;mso-position-vertical-relative:page" o:ole="">
            <v:fill o:detectmouseclick="t"/>
            <v:imagedata r:id="rId30" o:title=""/>
          </v:shape>
          <o:OLEObject Type="Embed" ProgID="Excel.Sheet.12" ShapeID="对象 29" DrawAspect="Content" ObjectID="_1598980133" r:id="rId31"/>
        </w:object>
      </w:r>
    </w:p>
    <w:p w:rsidR="00000000" w:rsidRDefault="009A1129">
      <w:pPr>
        <w:pStyle w:val="a8"/>
        <w:spacing w:line="360" w:lineRule="auto"/>
        <w:rPr>
          <w:rFonts w:ascii="楷体_GB2312" w:eastAsia="楷体_GB2312" w:hAnsi="楷体_GB2312" w:cs="楷体_GB2312" w:hint="eastAsia"/>
          <w:bCs/>
          <w:sz w:val="28"/>
          <w:szCs w:val="28"/>
        </w:rPr>
      </w:pPr>
      <w:r>
        <w:rPr>
          <w:rFonts w:ascii="楷体_GB2312" w:eastAsia="楷体_GB2312" w:hAnsi="楷体_GB2312" w:cs="楷体_GB2312" w:hint="eastAsia"/>
          <w:bCs/>
          <w:sz w:val="28"/>
          <w:szCs w:val="28"/>
        </w:rPr>
        <w:t>图</w:t>
      </w:r>
      <w:r>
        <w:rPr>
          <w:rFonts w:ascii="楷体_GB2312" w:eastAsia="楷体_GB2312" w:hAnsi="楷体_GB2312" w:cs="楷体_GB2312" w:hint="eastAsia"/>
          <w:bCs/>
          <w:sz w:val="28"/>
          <w:szCs w:val="28"/>
        </w:rPr>
        <w:t xml:space="preserve">4-2 </w:t>
      </w:r>
      <w:bookmarkStart w:id="10" w:name="_Toc499539771"/>
      <w:r>
        <w:rPr>
          <w:rFonts w:ascii="楷体_GB2312" w:eastAsia="楷体_GB2312" w:hAnsi="楷体_GB2312" w:cs="楷体_GB2312" w:hint="eastAsia"/>
          <w:bCs/>
          <w:sz w:val="28"/>
          <w:szCs w:val="28"/>
        </w:rPr>
        <w:t xml:space="preserve"> 2017</w:t>
      </w:r>
      <w:r>
        <w:rPr>
          <w:rFonts w:ascii="楷体_GB2312" w:eastAsia="楷体_GB2312" w:hAnsi="楷体_GB2312" w:cs="楷体_GB2312" w:hint="eastAsia"/>
          <w:bCs/>
          <w:sz w:val="28"/>
          <w:szCs w:val="28"/>
        </w:rPr>
        <w:t>届毕业生认为母校学习环境</w:t>
      </w:r>
    </w:p>
    <w:p w:rsidR="00000000" w:rsidRDefault="009A1129">
      <w:pPr>
        <w:pStyle w:val="a8"/>
        <w:spacing w:line="360" w:lineRule="auto"/>
        <w:rPr>
          <w:rFonts w:ascii="楷体_GB2312" w:eastAsia="楷体_GB2312" w:hAnsi="楷体_GB2312" w:cs="楷体_GB2312" w:hint="eastAsia"/>
          <w:bCs/>
          <w:sz w:val="28"/>
          <w:szCs w:val="28"/>
        </w:rPr>
      </w:pPr>
      <w:r>
        <w:rPr>
          <w:rFonts w:ascii="楷体_GB2312" w:eastAsia="楷体_GB2312" w:hAnsi="楷体_GB2312" w:cs="楷体_GB2312" w:hint="eastAsia"/>
          <w:bCs/>
          <w:sz w:val="28"/>
          <w:szCs w:val="28"/>
        </w:rPr>
        <w:t>需要改进的地方（多选）</w:t>
      </w:r>
      <w:bookmarkEnd w:id="10"/>
    </w:p>
    <w:p w:rsidR="00000000" w:rsidRDefault="009A1129"/>
    <w:p w:rsidR="00000000" w:rsidRDefault="009A1129">
      <w:pPr>
        <w:spacing w:line="480" w:lineRule="auto"/>
        <w:rPr>
          <w:rFonts w:ascii="楷体_GB2312" w:eastAsia="楷体_GB2312" w:hAnsi="楷体_GB2312" w:cs="楷体_GB2312" w:hint="eastAsia"/>
          <w:b/>
          <w:sz w:val="32"/>
          <w:szCs w:val="32"/>
        </w:rPr>
      </w:pPr>
      <w:r>
        <w:rPr>
          <w:rFonts w:ascii="楷体_GB2312" w:eastAsia="楷体_GB2312" w:hAnsi="楷体_GB2312" w:cs="楷体_GB2312" w:hint="eastAsia"/>
          <w:b/>
          <w:sz w:val="32"/>
          <w:szCs w:val="32"/>
        </w:rPr>
        <w:t xml:space="preserve"> </w:t>
      </w:r>
      <w:r>
        <w:rPr>
          <w:rFonts w:ascii="楷体_GB2312" w:eastAsia="楷体_GB2312" w:hAnsi="楷体_GB2312" w:cs="楷体_GB2312" w:hint="eastAsia"/>
          <w:b/>
          <w:sz w:val="32"/>
          <w:szCs w:val="32"/>
        </w:rPr>
        <w:t>（二）</w:t>
      </w:r>
      <w:r>
        <w:rPr>
          <w:rFonts w:ascii="楷体_GB2312" w:eastAsia="楷体_GB2312" w:hAnsi="楷体_GB2312" w:cs="楷体_GB2312" w:hint="eastAsia"/>
          <w:b/>
          <w:sz w:val="32"/>
          <w:szCs w:val="32"/>
        </w:rPr>
        <w:t>课程教学评价</w:t>
      </w:r>
    </w:p>
    <w:p w:rsidR="00000000" w:rsidRDefault="009A1129">
      <w:pPr>
        <w:pStyle w:val="aa"/>
        <w:ind w:firstLineChars="200" w:firstLine="560"/>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2017</w:t>
      </w:r>
      <w:r>
        <w:rPr>
          <w:rFonts w:ascii="楷体_GB2312" w:eastAsia="楷体_GB2312" w:hAnsi="楷体_GB2312" w:cs="楷体_GB2312" w:hint="eastAsia"/>
          <w:kern w:val="0"/>
          <w:sz w:val="28"/>
          <w:szCs w:val="28"/>
        </w:rPr>
        <w:t>届毕业生对母校</w:t>
      </w:r>
      <w:r>
        <w:rPr>
          <w:rFonts w:ascii="楷体_GB2312" w:eastAsia="楷体_GB2312" w:hAnsi="楷体_GB2312" w:cs="楷体_GB2312" w:hint="eastAsia"/>
          <w:kern w:val="0"/>
          <w:sz w:val="28"/>
          <w:szCs w:val="28"/>
        </w:rPr>
        <w:t>课程教学的总体满意度为</w:t>
      </w:r>
      <w:r>
        <w:rPr>
          <w:rFonts w:ascii="楷体_GB2312" w:eastAsia="楷体_GB2312" w:hAnsi="楷体_GB2312" w:cs="楷体_GB2312" w:hint="eastAsia"/>
          <w:kern w:val="0"/>
          <w:sz w:val="28"/>
          <w:szCs w:val="28"/>
        </w:rPr>
        <w:t>9</w:t>
      </w:r>
      <w:r>
        <w:rPr>
          <w:rFonts w:ascii="楷体_GB2312" w:eastAsia="楷体_GB2312" w:hAnsi="楷体_GB2312" w:cs="楷体_GB2312" w:hint="eastAsia"/>
          <w:kern w:val="0"/>
          <w:sz w:val="28"/>
          <w:szCs w:val="28"/>
        </w:rPr>
        <w:t>5.89</w:t>
      </w:r>
      <w:r>
        <w:rPr>
          <w:rFonts w:ascii="楷体_GB2312" w:eastAsia="楷体_GB2312" w:hAnsi="楷体_GB2312" w:cs="楷体_GB2312" w:hint="eastAsia"/>
          <w:kern w:val="0"/>
          <w:sz w:val="28"/>
          <w:szCs w:val="28"/>
        </w:rPr>
        <w:t>%</w:t>
      </w:r>
      <w:r>
        <w:rPr>
          <w:rFonts w:ascii="楷体_GB2312" w:eastAsia="楷体_GB2312" w:hAnsi="楷体_GB2312" w:cs="楷体_GB2312" w:hint="eastAsia"/>
          <w:kern w:val="0"/>
          <w:sz w:val="28"/>
          <w:szCs w:val="28"/>
        </w:rPr>
        <w:t>，其中非常满意的占</w:t>
      </w:r>
      <w:r>
        <w:rPr>
          <w:rFonts w:ascii="楷体_GB2312" w:eastAsia="楷体_GB2312" w:hAnsi="楷体_GB2312" w:cs="楷体_GB2312" w:hint="eastAsia"/>
          <w:kern w:val="0"/>
          <w:sz w:val="28"/>
          <w:szCs w:val="28"/>
        </w:rPr>
        <w:t>36.62%</w:t>
      </w:r>
      <w:r>
        <w:rPr>
          <w:rFonts w:ascii="楷体_GB2312" w:eastAsia="楷体_GB2312" w:hAnsi="楷体_GB2312" w:cs="楷体_GB2312" w:hint="eastAsia"/>
          <w:kern w:val="0"/>
          <w:sz w:val="28"/>
          <w:szCs w:val="28"/>
        </w:rPr>
        <w:t>（</w:t>
      </w:r>
      <w:r>
        <w:rPr>
          <w:rFonts w:ascii="楷体_GB2312" w:eastAsia="楷体_GB2312" w:hAnsi="楷体_GB2312" w:cs="楷体_GB2312" w:hint="eastAsia"/>
          <w:kern w:val="0"/>
          <w:sz w:val="28"/>
          <w:szCs w:val="28"/>
        </w:rPr>
        <w:t>见图</w:t>
      </w:r>
      <w:r>
        <w:rPr>
          <w:rFonts w:ascii="楷体_GB2312" w:eastAsia="楷体_GB2312" w:hAnsi="楷体_GB2312" w:cs="楷体_GB2312" w:hint="eastAsia"/>
          <w:kern w:val="0"/>
          <w:sz w:val="28"/>
          <w:szCs w:val="28"/>
        </w:rPr>
        <w:t>4-3</w:t>
      </w:r>
      <w:r>
        <w:rPr>
          <w:rFonts w:ascii="楷体_GB2312" w:eastAsia="楷体_GB2312" w:hAnsi="楷体_GB2312" w:cs="楷体_GB2312" w:hint="eastAsia"/>
          <w:kern w:val="0"/>
          <w:sz w:val="28"/>
          <w:szCs w:val="28"/>
        </w:rPr>
        <w:t>）</w:t>
      </w:r>
      <w:r>
        <w:rPr>
          <w:rFonts w:ascii="楷体_GB2312" w:eastAsia="楷体_GB2312" w:hAnsi="楷体_GB2312" w:cs="楷体_GB2312" w:hint="eastAsia"/>
          <w:kern w:val="0"/>
          <w:sz w:val="28"/>
          <w:szCs w:val="28"/>
        </w:rPr>
        <w:t>。毕业生反映课</w:t>
      </w:r>
      <w:r>
        <w:rPr>
          <w:rFonts w:ascii="楷体_GB2312" w:eastAsia="楷体_GB2312" w:hAnsi="楷体_GB2312" w:cs="楷体_GB2312" w:hint="eastAsia"/>
          <w:kern w:val="0"/>
          <w:sz w:val="28"/>
          <w:szCs w:val="28"/>
        </w:rPr>
        <w:t>程教学需要改进的主要是</w:t>
      </w:r>
      <w:r>
        <w:rPr>
          <w:rFonts w:ascii="楷体_GB2312" w:eastAsia="楷体_GB2312" w:hAnsi="楷体_GB2312" w:cs="楷体_GB2312" w:hint="eastAsia"/>
          <w:kern w:val="0"/>
          <w:sz w:val="28"/>
          <w:szCs w:val="28"/>
        </w:rPr>
        <w:t>加强教学的实验、实习等环节和加强课堂的互动交流两个方面（见图</w:t>
      </w:r>
      <w:r>
        <w:rPr>
          <w:rFonts w:ascii="楷体_GB2312" w:eastAsia="楷体_GB2312" w:hAnsi="楷体_GB2312" w:cs="楷体_GB2312" w:hint="eastAsia"/>
          <w:kern w:val="0"/>
          <w:sz w:val="28"/>
          <w:szCs w:val="28"/>
        </w:rPr>
        <w:t>4-4</w:t>
      </w:r>
      <w:r>
        <w:rPr>
          <w:rFonts w:ascii="楷体_GB2312" w:eastAsia="楷体_GB2312" w:hAnsi="楷体_GB2312" w:cs="楷体_GB2312" w:hint="eastAsia"/>
          <w:kern w:val="0"/>
          <w:sz w:val="28"/>
          <w:szCs w:val="28"/>
        </w:rPr>
        <w:t>）</w:t>
      </w:r>
      <w:r>
        <w:rPr>
          <w:rFonts w:ascii="楷体_GB2312" w:eastAsia="楷体_GB2312" w:hAnsi="楷体_GB2312" w:cs="楷体_GB2312" w:hint="eastAsia"/>
          <w:kern w:val="0"/>
          <w:sz w:val="28"/>
          <w:szCs w:val="28"/>
        </w:rPr>
        <w:t>。</w:t>
      </w:r>
    </w:p>
    <w:bookmarkStart w:id="11" w:name="毕业生对母校课程教学的满意度"/>
    <w:bookmarkEnd w:id="11"/>
    <w:bookmarkStart w:id="12" w:name="_1574777496"/>
    <w:bookmarkEnd w:id="12"/>
    <w:p w:rsidR="00000000" w:rsidRDefault="009A1129">
      <w:pPr>
        <w:pStyle w:val="11"/>
        <w:rPr>
          <w:rFonts w:ascii="Calibri" w:hAnsi="Calibri" w:hint="eastAsia"/>
          <w:b w:val="0"/>
        </w:rPr>
      </w:pPr>
      <w:r>
        <w:rPr>
          <w:rFonts w:ascii="Calibri" w:hAnsi="Calibri"/>
        </w:rPr>
        <w:object w:dxaOrig="8205" w:dyaOrig="3961">
          <v:shape id="对象 38" o:spid="_x0000_i1030" type="#_x0000_t75" style="width:410.25pt;height:198pt;mso-wrap-style:square;mso-position-horizontal-relative:page;mso-position-vertical-relative:page" o:ole="">
            <v:imagedata r:id="rId32" o:title=""/>
          </v:shape>
          <o:OLEObject Type="Embed" ProgID="Excel.Sheet.12" ShapeID="对象 38" DrawAspect="Content" ObjectID="_1598980134" r:id="rId33"/>
        </w:object>
      </w:r>
    </w:p>
    <w:p w:rsidR="00000000" w:rsidRDefault="009A1129">
      <w:pPr>
        <w:pStyle w:val="a8"/>
        <w:spacing w:line="360" w:lineRule="auto"/>
        <w:ind w:left="0"/>
        <w:rPr>
          <w:rFonts w:ascii="楷体_GB2312" w:eastAsia="楷体_GB2312" w:hAnsi="楷体_GB2312" w:cs="楷体_GB2312" w:hint="eastAsia"/>
          <w:bCs/>
          <w:sz w:val="28"/>
          <w:szCs w:val="28"/>
        </w:rPr>
      </w:pPr>
      <w:bookmarkStart w:id="13" w:name="_Toc468717606"/>
      <w:r>
        <w:rPr>
          <w:rFonts w:ascii="楷体_GB2312" w:eastAsia="楷体_GB2312" w:hAnsi="楷体_GB2312" w:cs="楷体_GB2312" w:hint="eastAsia"/>
          <w:bCs/>
          <w:sz w:val="28"/>
          <w:szCs w:val="28"/>
        </w:rPr>
        <w:t>图</w:t>
      </w:r>
      <w:r>
        <w:rPr>
          <w:rFonts w:ascii="楷体_GB2312" w:eastAsia="楷体_GB2312" w:hAnsi="楷体_GB2312" w:cs="楷体_GB2312" w:hint="eastAsia"/>
          <w:bCs/>
          <w:sz w:val="28"/>
          <w:szCs w:val="28"/>
        </w:rPr>
        <w:t>4-3  2017</w:t>
      </w:r>
      <w:r>
        <w:rPr>
          <w:rFonts w:ascii="楷体_GB2312" w:eastAsia="楷体_GB2312" w:hAnsi="楷体_GB2312" w:cs="楷体_GB2312" w:hint="eastAsia"/>
          <w:bCs/>
          <w:sz w:val="28"/>
          <w:szCs w:val="28"/>
        </w:rPr>
        <w:t>届毕业生对母校课程教学的满意度</w:t>
      </w:r>
      <w:bookmarkEnd w:id="13"/>
    </w:p>
    <w:bookmarkStart w:id="14" w:name="_1574777565"/>
    <w:bookmarkEnd w:id="14"/>
    <w:p w:rsidR="00000000" w:rsidRDefault="009A1129">
      <w:pPr>
        <w:rPr>
          <w:rFonts w:ascii="Calibri" w:hAnsi="Calibri"/>
          <w:b/>
        </w:rPr>
      </w:pPr>
      <w:r>
        <w:rPr>
          <w:rFonts w:ascii="Calibri" w:hAnsi="Calibri"/>
          <w:b/>
        </w:rPr>
        <w:object w:dxaOrig="8205" w:dyaOrig="3341">
          <v:shape id="_x0000_i1031" type="#_x0000_t75" style="width:410.25pt;height:167.25pt;mso-wrap-style:square;mso-position-horizontal-relative:page;mso-position-vertical-relative:page" o:ole="">
            <v:fill o:detectmouseclick="t"/>
            <v:imagedata r:id="rId34" o:title=""/>
          </v:shape>
          <o:OLEObject Type="Embed" ProgID="Excel.Sheet.12" ShapeID="_x0000_i1031" DrawAspect="Content" ObjectID="_1598980135" r:id="rId35"/>
        </w:object>
      </w:r>
    </w:p>
    <w:p w:rsidR="00000000" w:rsidRDefault="009A1129">
      <w:pPr>
        <w:pStyle w:val="a8"/>
        <w:spacing w:line="360" w:lineRule="auto"/>
        <w:ind w:left="0"/>
        <w:rPr>
          <w:rFonts w:ascii="楷体_GB2312" w:eastAsia="楷体_GB2312" w:hAnsi="楷体_GB2312" w:cs="楷体_GB2312" w:hint="eastAsia"/>
          <w:bCs/>
          <w:sz w:val="28"/>
          <w:szCs w:val="28"/>
        </w:rPr>
      </w:pPr>
      <w:r>
        <w:rPr>
          <w:rFonts w:ascii="楷体_GB2312" w:eastAsia="楷体_GB2312" w:hAnsi="楷体_GB2312" w:cs="楷体_GB2312" w:hint="eastAsia"/>
          <w:bCs/>
          <w:sz w:val="28"/>
          <w:szCs w:val="28"/>
        </w:rPr>
        <w:t>图</w:t>
      </w:r>
      <w:r>
        <w:rPr>
          <w:rFonts w:ascii="楷体_GB2312" w:eastAsia="楷体_GB2312" w:hAnsi="楷体_GB2312" w:cs="楷体_GB2312" w:hint="eastAsia"/>
          <w:bCs/>
          <w:sz w:val="28"/>
          <w:szCs w:val="28"/>
        </w:rPr>
        <w:t xml:space="preserve">4-4  </w:t>
      </w:r>
      <w:bookmarkStart w:id="15" w:name="_Toc499539773"/>
      <w:r>
        <w:rPr>
          <w:rFonts w:ascii="楷体_GB2312" w:eastAsia="楷体_GB2312" w:hAnsi="楷体_GB2312" w:cs="楷体_GB2312" w:hint="eastAsia"/>
          <w:bCs/>
          <w:sz w:val="28"/>
          <w:szCs w:val="28"/>
        </w:rPr>
        <w:t>2017</w:t>
      </w:r>
      <w:r>
        <w:rPr>
          <w:rFonts w:ascii="楷体_GB2312" w:eastAsia="楷体_GB2312" w:hAnsi="楷体_GB2312" w:cs="楷体_GB2312" w:hint="eastAsia"/>
          <w:bCs/>
          <w:sz w:val="28"/>
          <w:szCs w:val="28"/>
        </w:rPr>
        <w:t>届毕业生认为母校课程教学</w:t>
      </w:r>
    </w:p>
    <w:p w:rsidR="00000000" w:rsidRDefault="009A1129">
      <w:pPr>
        <w:pStyle w:val="a8"/>
        <w:spacing w:line="360" w:lineRule="auto"/>
        <w:ind w:left="0"/>
        <w:rPr>
          <w:rFonts w:ascii="楷体_GB2312" w:eastAsia="楷体_GB2312" w:hAnsi="楷体_GB2312" w:cs="楷体_GB2312" w:hint="eastAsia"/>
          <w:bCs/>
          <w:sz w:val="28"/>
          <w:szCs w:val="28"/>
        </w:rPr>
      </w:pPr>
      <w:r>
        <w:rPr>
          <w:rFonts w:ascii="楷体_GB2312" w:eastAsia="楷体_GB2312" w:hAnsi="楷体_GB2312" w:cs="楷体_GB2312" w:hint="eastAsia"/>
          <w:bCs/>
          <w:sz w:val="28"/>
          <w:szCs w:val="28"/>
        </w:rPr>
        <w:t>需要改进的地方（多选）</w:t>
      </w:r>
      <w:bookmarkEnd w:id="15"/>
    </w:p>
    <w:p w:rsidR="00000000" w:rsidRDefault="009A1129">
      <w:pPr>
        <w:rPr>
          <w:rFonts w:hint="eastAsia"/>
        </w:rPr>
      </w:pPr>
    </w:p>
    <w:p w:rsidR="00000000" w:rsidRDefault="009A1129">
      <w:pPr>
        <w:spacing w:line="480" w:lineRule="auto"/>
        <w:rPr>
          <w:rFonts w:ascii="楷体_GB2312" w:eastAsia="楷体_GB2312" w:hAnsi="楷体_GB2312" w:cs="楷体_GB2312" w:hint="eastAsia"/>
          <w:b/>
          <w:sz w:val="32"/>
          <w:szCs w:val="32"/>
        </w:rPr>
      </w:pPr>
      <w:bookmarkStart w:id="16" w:name="_Toc468369547"/>
      <w:r>
        <w:rPr>
          <w:rFonts w:ascii="楷体_GB2312" w:eastAsia="楷体_GB2312" w:hAnsi="楷体_GB2312" w:cs="楷体_GB2312" w:hint="eastAsia"/>
          <w:b/>
          <w:sz w:val="32"/>
          <w:szCs w:val="32"/>
        </w:rPr>
        <w:t>（三）对管理服务的评价</w:t>
      </w:r>
      <w:bookmarkEnd w:id="16"/>
    </w:p>
    <w:p w:rsidR="00000000" w:rsidRDefault="009A1129">
      <w:pPr>
        <w:autoSpaceDE w:val="0"/>
        <w:autoSpaceDN w:val="0"/>
        <w:adjustRightInd w:val="0"/>
        <w:spacing w:line="520" w:lineRule="exact"/>
        <w:ind w:firstLineChars="200" w:firstLine="560"/>
        <w:jc w:val="left"/>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1</w:t>
      </w:r>
      <w:r>
        <w:rPr>
          <w:rFonts w:ascii="楷体_GB2312" w:eastAsia="楷体_GB2312" w:hAnsi="楷体_GB2312" w:cs="楷体_GB2312" w:hint="eastAsia"/>
          <w:kern w:val="0"/>
          <w:sz w:val="28"/>
          <w:szCs w:val="28"/>
        </w:rPr>
        <w:t>、学生管理评价</w:t>
      </w:r>
    </w:p>
    <w:p w:rsidR="00000000" w:rsidRDefault="009A1129">
      <w:pPr>
        <w:autoSpaceDE w:val="0"/>
        <w:autoSpaceDN w:val="0"/>
        <w:adjustRightInd w:val="0"/>
        <w:spacing w:line="520" w:lineRule="exact"/>
        <w:ind w:firstLineChars="200" w:firstLine="560"/>
        <w:jc w:val="left"/>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我院</w:t>
      </w:r>
      <w:r>
        <w:rPr>
          <w:rFonts w:ascii="楷体_GB2312" w:eastAsia="楷体_GB2312" w:hAnsi="楷体_GB2312" w:cs="楷体_GB2312" w:hint="eastAsia"/>
          <w:kern w:val="0"/>
          <w:sz w:val="28"/>
          <w:szCs w:val="28"/>
        </w:rPr>
        <w:t>2017</w:t>
      </w:r>
      <w:r>
        <w:rPr>
          <w:rFonts w:ascii="楷体_GB2312" w:eastAsia="楷体_GB2312" w:hAnsi="楷体_GB2312" w:cs="楷体_GB2312" w:hint="eastAsia"/>
          <w:kern w:val="0"/>
          <w:sz w:val="28"/>
          <w:szCs w:val="28"/>
        </w:rPr>
        <w:t>届毕业生对母校学生管理的满意度为</w:t>
      </w:r>
      <w:r>
        <w:rPr>
          <w:rFonts w:ascii="楷体_GB2312" w:eastAsia="楷体_GB2312" w:hAnsi="楷体_GB2312" w:cs="楷体_GB2312" w:hint="eastAsia"/>
          <w:kern w:val="0"/>
          <w:sz w:val="28"/>
          <w:szCs w:val="28"/>
        </w:rPr>
        <w:t>95.72%</w:t>
      </w:r>
      <w:r>
        <w:rPr>
          <w:rFonts w:ascii="楷体_GB2312" w:eastAsia="楷体_GB2312" w:hAnsi="楷体_GB2312" w:cs="楷体_GB2312" w:hint="eastAsia"/>
          <w:kern w:val="0"/>
          <w:sz w:val="28"/>
          <w:szCs w:val="28"/>
        </w:rPr>
        <w:t>，其中非常满意占到</w:t>
      </w:r>
      <w:r>
        <w:rPr>
          <w:rFonts w:ascii="楷体_GB2312" w:eastAsia="楷体_GB2312" w:hAnsi="楷体_GB2312" w:cs="楷体_GB2312" w:hint="eastAsia"/>
          <w:kern w:val="0"/>
          <w:sz w:val="28"/>
          <w:szCs w:val="28"/>
        </w:rPr>
        <w:t>37.71%</w:t>
      </w:r>
      <w:r>
        <w:rPr>
          <w:rFonts w:ascii="楷体_GB2312" w:eastAsia="楷体_GB2312" w:hAnsi="楷体_GB2312" w:cs="楷体_GB2312" w:hint="eastAsia"/>
          <w:kern w:val="0"/>
          <w:sz w:val="28"/>
          <w:szCs w:val="28"/>
        </w:rPr>
        <w:t>（见图</w:t>
      </w:r>
      <w:r>
        <w:rPr>
          <w:rFonts w:ascii="楷体_GB2312" w:eastAsia="楷体_GB2312" w:hAnsi="楷体_GB2312" w:cs="楷体_GB2312" w:hint="eastAsia"/>
          <w:kern w:val="0"/>
          <w:sz w:val="28"/>
          <w:szCs w:val="28"/>
        </w:rPr>
        <w:t>4-5</w:t>
      </w:r>
      <w:r>
        <w:rPr>
          <w:rFonts w:ascii="楷体_GB2312" w:eastAsia="楷体_GB2312" w:hAnsi="楷体_GB2312" w:cs="楷体_GB2312" w:hint="eastAsia"/>
          <w:kern w:val="0"/>
          <w:sz w:val="28"/>
          <w:szCs w:val="28"/>
        </w:rPr>
        <w:t>）。毕业生认为母校学生管理需要</w:t>
      </w:r>
      <w:r>
        <w:rPr>
          <w:rFonts w:ascii="楷体_GB2312" w:eastAsia="楷体_GB2312" w:hAnsi="楷体_GB2312" w:cs="楷体_GB2312" w:hint="eastAsia"/>
          <w:kern w:val="0"/>
          <w:sz w:val="28"/>
          <w:szCs w:val="28"/>
        </w:rPr>
        <w:t>改进的方面主要集中在社团活动、课外活动及假期社会实践占</w:t>
      </w:r>
      <w:r>
        <w:rPr>
          <w:rFonts w:ascii="楷体_GB2312" w:eastAsia="楷体_GB2312" w:hAnsi="楷体_GB2312" w:cs="楷体_GB2312" w:hint="eastAsia"/>
          <w:kern w:val="0"/>
          <w:sz w:val="28"/>
          <w:szCs w:val="28"/>
        </w:rPr>
        <w:t>57.82%</w:t>
      </w:r>
      <w:r>
        <w:rPr>
          <w:rFonts w:ascii="楷体_GB2312" w:eastAsia="楷体_GB2312" w:hAnsi="楷体_GB2312" w:cs="楷体_GB2312" w:hint="eastAsia"/>
          <w:kern w:val="0"/>
          <w:sz w:val="28"/>
          <w:szCs w:val="28"/>
        </w:rPr>
        <w:t>（见图</w:t>
      </w:r>
      <w:r>
        <w:rPr>
          <w:rFonts w:ascii="楷体_GB2312" w:eastAsia="楷体_GB2312" w:hAnsi="楷体_GB2312" w:cs="楷体_GB2312" w:hint="eastAsia"/>
          <w:kern w:val="0"/>
          <w:sz w:val="28"/>
          <w:szCs w:val="28"/>
        </w:rPr>
        <w:t>4-6</w:t>
      </w:r>
      <w:r>
        <w:rPr>
          <w:rFonts w:ascii="楷体_GB2312" w:eastAsia="楷体_GB2312" w:hAnsi="楷体_GB2312" w:cs="楷体_GB2312" w:hint="eastAsia"/>
          <w:kern w:val="0"/>
          <w:sz w:val="28"/>
          <w:szCs w:val="28"/>
        </w:rPr>
        <w:t>）。</w:t>
      </w:r>
    </w:p>
    <w:bookmarkStart w:id="17" w:name="_1574777488"/>
    <w:bookmarkEnd w:id="17"/>
    <w:p w:rsidR="00000000" w:rsidRDefault="009A1129">
      <w:pPr>
        <w:pStyle w:val="11"/>
        <w:rPr>
          <w:rFonts w:ascii="Calibri" w:hAnsi="Calibri" w:hint="eastAsia"/>
          <w:b w:val="0"/>
        </w:rPr>
      </w:pPr>
      <w:r>
        <w:rPr>
          <w:rFonts w:ascii="Calibri" w:hAnsi="Calibri"/>
        </w:rPr>
        <w:object w:dxaOrig="8205" w:dyaOrig="3961">
          <v:shape id="对象 36" o:spid="_x0000_i1032" type="#_x0000_t75" style="width:410.25pt;height:198pt;mso-wrap-style:square;mso-position-horizontal-relative:page;mso-position-vertical-relative:page" o:ole="">
            <v:imagedata r:id="rId36" o:title=""/>
          </v:shape>
          <o:OLEObject Type="Embed" ProgID="Excel.Sheet.12" ShapeID="对象 36" DrawAspect="Content" ObjectID="_1598980136" r:id="rId37"/>
        </w:object>
      </w:r>
    </w:p>
    <w:p w:rsidR="00000000" w:rsidRDefault="009A1129">
      <w:pPr>
        <w:pStyle w:val="a8"/>
        <w:spacing w:line="360" w:lineRule="auto"/>
        <w:ind w:left="0"/>
        <w:rPr>
          <w:rFonts w:ascii="楷体_GB2312" w:eastAsia="楷体_GB2312" w:hAnsi="楷体_GB2312" w:cs="楷体_GB2312" w:hint="eastAsia"/>
          <w:bCs/>
          <w:sz w:val="28"/>
          <w:szCs w:val="28"/>
        </w:rPr>
      </w:pPr>
      <w:bookmarkStart w:id="18" w:name="_Toc468717608"/>
      <w:r>
        <w:rPr>
          <w:rFonts w:ascii="楷体_GB2312" w:eastAsia="楷体_GB2312" w:hAnsi="楷体_GB2312" w:cs="楷体_GB2312" w:hint="eastAsia"/>
          <w:bCs/>
          <w:sz w:val="28"/>
          <w:szCs w:val="28"/>
        </w:rPr>
        <w:t>图</w:t>
      </w:r>
      <w:r>
        <w:rPr>
          <w:rFonts w:ascii="楷体_GB2312" w:eastAsia="楷体_GB2312" w:hAnsi="楷体_GB2312" w:cs="楷体_GB2312" w:hint="eastAsia"/>
          <w:bCs/>
          <w:sz w:val="28"/>
          <w:szCs w:val="28"/>
        </w:rPr>
        <w:t>4-5  2017</w:t>
      </w:r>
      <w:r>
        <w:rPr>
          <w:rFonts w:ascii="楷体_GB2312" w:eastAsia="楷体_GB2312" w:hAnsi="楷体_GB2312" w:cs="楷体_GB2312" w:hint="eastAsia"/>
          <w:bCs/>
          <w:sz w:val="28"/>
          <w:szCs w:val="28"/>
        </w:rPr>
        <w:t>届毕业生对母校学生管理的满意度</w:t>
      </w:r>
      <w:bookmarkEnd w:id="18"/>
    </w:p>
    <w:bookmarkStart w:id="19" w:name="_1574777560"/>
    <w:bookmarkEnd w:id="19"/>
    <w:p w:rsidR="00000000" w:rsidRDefault="009A1129">
      <w:pPr>
        <w:rPr>
          <w:rFonts w:ascii="Calibri" w:hAnsi="Calibri"/>
          <w:b/>
        </w:rPr>
      </w:pPr>
      <w:r>
        <w:rPr>
          <w:rFonts w:ascii="Calibri" w:hAnsi="Calibri"/>
          <w:b/>
        </w:rPr>
        <w:object w:dxaOrig="8205" w:dyaOrig="3652">
          <v:shape id="对象 31" o:spid="_x0000_i1033" type="#_x0000_t75" style="width:410.25pt;height:182.25pt;mso-wrap-style:square;mso-position-horizontal-relative:page;mso-position-vertical-relative:page" o:ole="">
            <v:fill o:detectmouseclick="t"/>
            <v:imagedata r:id="rId38" o:title=""/>
          </v:shape>
          <o:OLEObject Type="Embed" ProgID="Excel.Sheet.12" ShapeID="对象 31" DrawAspect="Content" ObjectID="_1598980137" r:id="rId39"/>
        </w:object>
      </w:r>
    </w:p>
    <w:p w:rsidR="00000000" w:rsidRDefault="009A1129">
      <w:pPr>
        <w:pStyle w:val="a8"/>
        <w:spacing w:line="360" w:lineRule="auto"/>
        <w:ind w:leftChars="200" w:left="701" w:hangingChars="100" w:hanging="281"/>
        <w:rPr>
          <w:rFonts w:ascii="楷体_GB2312" w:eastAsia="楷体_GB2312" w:hAnsi="楷体_GB2312" w:cs="楷体_GB2312" w:hint="eastAsia"/>
          <w:bCs/>
          <w:sz w:val="28"/>
          <w:szCs w:val="28"/>
        </w:rPr>
      </w:pPr>
      <w:r>
        <w:rPr>
          <w:rFonts w:ascii="楷体_GB2312" w:eastAsia="楷体_GB2312" w:hAnsi="楷体_GB2312" w:cs="楷体_GB2312" w:hint="eastAsia"/>
          <w:bCs/>
          <w:sz w:val="28"/>
          <w:szCs w:val="28"/>
        </w:rPr>
        <w:t>图</w:t>
      </w:r>
      <w:r>
        <w:rPr>
          <w:rFonts w:ascii="楷体_GB2312" w:eastAsia="楷体_GB2312" w:hAnsi="楷体_GB2312" w:cs="楷体_GB2312" w:hint="eastAsia"/>
          <w:bCs/>
          <w:sz w:val="28"/>
          <w:szCs w:val="28"/>
        </w:rPr>
        <w:t xml:space="preserve">4-6  </w:t>
      </w:r>
      <w:bookmarkStart w:id="20" w:name="_Toc499539778"/>
      <w:r>
        <w:rPr>
          <w:rFonts w:ascii="楷体_GB2312" w:eastAsia="楷体_GB2312" w:hAnsi="楷体_GB2312" w:cs="楷体_GB2312" w:hint="eastAsia"/>
          <w:bCs/>
          <w:sz w:val="28"/>
          <w:szCs w:val="28"/>
        </w:rPr>
        <w:t>2017</w:t>
      </w:r>
      <w:r>
        <w:rPr>
          <w:rFonts w:ascii="楷体_GB2312" w:eastAsia="楷体_GB2312" w:hAnsi="楷体_GB2312" w:cs="楷体_GB2312" w:hint="eastAsia"/>
          <w:bCs/>
          <w:sz w:val="28"/>
          <w:szCs w:val="28"/>
        </w:rPr>
        <w:t>届毕业生认为母校学生管理</w:t>
      </w:r>
    </w:p>
    <w:p w:rsidR="00000000" w:rsidRDefault="009A1129">
      <w:pPr>
        <w:pStyle w:val="a8"/>
        <w:spacing w:line="360" w:lineRule="auto"/>
        <w:ind w:leftChars="200" w:left="701" w:hangingChars="100" w:hanging="281"/>
        <w:rPr>
          <w:rFonts w:ascii="楷体_GB2312" w:eastAsia="楷体_GB2312" w:hAnsi="楷体_GB2312" w:cs="楷体_GB2312" w:hint="eastAsia"/>
          <w:bCs/>
          <w:sz w:val="28"/>
          <w:szCs w:val="28"/>
        </w:rPr>
      </w:pPr>
      <w:r>
        <w:rPr>
          <w:rFonts w:ascii="楷体_GB2312" w:eastAsia="楷体_GB2312" w:hAnsi="楷体_GB2312" w:cs="楷体_GB2312" w:hint="eastAsia"/>
          <w:bCs/>
          <w:sz w:val="28"/>
          <w:szCs w:val="28"/>
        </w:rPr>
        <w:t>需要改进的地方（多</w:t>
      </w:r>
      <w:bookmarkEnd w:id="20"/>
      <w:r>
        <w:rPr>
          <w:rFonts w:ascii="楷体_GB2312" w:eastAsia="楷体_GB2312" w:hAnsi="楷体_GB2312" w:cs="楷体_GB2312" w:hint="eastAsia"/>
          <w:bCs/>
          <w:sz w:val="28"/>
          <w:szCs w:val="28"/>
        </w:rPr>
        <w:t>选）</w:t>
      </w:r>
    </w:p>
    <w:p w:rsidR="00000000" w:rsidRDefault="009A1129">
      <w:pPr>
        <w:rPr>
          <w:rFonts w:hint="eastAsia"/>
        </w:rPr>
      </w:pPr>
    </w:p>
    <w:p w:rsidR="00000000" w:rsidRDefault="009A1129">
      <w:pPr>
        <w:pStyle w:val="a8"/>
        <w:spacing w:line="360" w:lineRule="auto"/>
        <w:ind w:leftChars="200" w:left="700" w:hangingChars="100" w:hanging="280"/>
        <w:jc w:val="both"/>
        <w:rPr>
          <w:rFonts w:ascii="楷体_GB2312" w:eastAsia="楷体_GB2312" w:hAnsi="楷体_GB2312" w:cs="楷体_GB2312" w:hint="eastAsia"/>
          <w:kern w:val="0"/>
          <w:sz w:val="28"/>
          <w:szCs w:val="28"/>
        </w:rPr>
      </w:pPr>
      <w:r>
        <w:rPr>
          <w:rFonts w:ascii="楷体_GB2312" w:eastAsia="楷体_GB2312" w:hAnsi="楷体_GB2312" w:cs="楷体_GB2312" w:hint="eastAsia"/>
          <w:b w:val="0"/>
          <w:bCs/>
          <w:kern w:val="0"/>
          <w:sz w:val="28"/>
          <w:szCs w:val="28"/>
        </w:rPr>
        <w:t>2</w:t>
      </w:r>
      <w:r>
        <w:rPr>
          <w:rFonts w:ascii="楷体_GB2312" w:eastAsia="楷体_GB2312" w:hAnsi="楷体_GB2312" w:cs="楷体_GB2312" w:hint="eastAsia"/>
          <w:b w:val="0"/>
          <w:bCs/>
          <w:kern w:val="0"/>
          <w:sz w:val="28"/>
          <w:szCs w:val="28"/>
        </w:rPr>
        <w:t>、</w:t>
      </w:r>
      <w:r>
        <w:rPr>
          <w:rFonts w:ascii="楷体_GB2312" w:eastAsia="楷体_GB2312" w:hAnsi="楷体_GB2312" w:cs="楷体_GB2312" w:hint="eastAsia"/>
          <w:b w:val="0"/>
          <w:bCs/>
          <w:kern w:val="0"/>
          <w:sz w:val="28"/>
          <w:szCs w:val="28"/>
        </w:rPr>
        <w:t xml:space="preserve"> </w:t>
      </w:r>
      <w:r>
        <w:rPr>
          <w:rFonts w:ascii="楷体_GB2312" w:eastAsia="楷体_GB2312" w:hAnsi="楷体_GB2312" w:cs="楷体_GB2312" w:hint="eastAsia"/>
          <w:b w:val="0"/>
          <w:bCs/>
          <w:kern w:val="0"/>
          <w:sz w:val="28"/>
          <w:szCs w:val="28"/>
        </w:rPr>
        <w:t>生活服务评价</w:t>
      </w:r>
    </w:p>
    <w:p w:rsidR="00000000" w:rsidRDefault="009A1129">
      <w:pPr>
        <w:pStyle w:val="aa"/>
        <w:ind w:firstLineChars="200" w:firstLine="560"/>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我院</w:t>
      </w:r>
      <w:r>
        <w:rPr>
          <w:rFonts w:ascii="楷体_GB2312" w:eastAsia="楷体_GB2312" w:hAnsi="楷体_GB2312" w:cs="楷体_GB2312" w:hint="eastAsia"/>
          <w:kern w:val="0"/>
          <w:sz w:val="28"/>
          <w:szCs w:val="28"/>
        </w:rPr>
        <w:t>2017</w:t>
      </w:r>
      <w:r>
        <w:rPr>
          <w:rFonts w:ascii="楷体_GB2312" w:eastAsia="楷体_GB2312" w:hAnsi="楷体_GB2312" w:cs="楷体_GB2312" w:hint="eastAsia"/>
          <w:kern w:val="0"/>
          <w:sz w:val="28"/>
          <w:szCs w:val="28"/>
        </w:rPr>
        <w:t>届毕业生对母校生活服务的满意度为</w:t>
      </w:r>
      <w:r>
        <w:rPr>
          <w:rFonts w:ascii="楷体_GB2312" w:eastAsia="楷体_GB2312" w:hAnsi="楷体_GB2312" w:cs="楷体_GB2312" w:hint="eastAsia"/>
          <w:kern w:val="0"/>
          <w:sz w:val="28"/>
          <w:szCs w:val="28"/>
        </w:rPr>
        <w:t>95.77%</w:t>
      </w:r>
      <w:r>
        <w:rPr>
          <w:rFonts w:ascii="楷体_GB2312" w:eastAsia="楷体_GB2312" w:hAnsi="楷体_GB2312" w:cs="楷体_GB2312" w:hint="eastAsia"/>
          <w:kern w:val="0"/>
          <w:sz w:val="28"/>
          <w:szCs w:val="28"/>
        </w:rPr>
        <w:t>，其中非常满意的占</w:t>
      </w:r>
      <w:r>
        <w:rPr>
          <w:rFonts w:ascii="楷体_GB2312" w:eastAsia="楷体_GB2312" w:hAnsi="楷体_GB2312" w:cs="楷体_GB2312" w:hint="eastAsia"/>
          <w:kern w:val="0"/>
          <w:sz w:val="28"/>
          <w:szCs w:val="28"/>
        </w:rPr>
        <w:t>37.69%</w:t>
      </w:r>
      <w:r>
        <w:rPr>
          <w:rFonts w:ascii="楷体_GB2312" w:eastAsia="楷体_GB2312" w:hAnsi="楷体_GB2312" w:cs="楷体_GB2312" w:hint="eastAsia"/>
          <w:kern w:val="0"/>
          <w:sz w:val="28"/>
          <w:szCs w:val="28"/>
        </w:rPr>
        <w:t>（见图</w:t>
      </w:r>
      <w:r>
        <w:rPr>
          <w:rFonts w:ascii="楷体_GB2312" w:eastAsia="楷体_GB2312" w:hAnsi="楷体_GB2312" w:cs="楷体_GB2312" w:hint="eastAsia"/>
          <w:kern w:val="0"/>
          <w:sz w:val="28"/>
          <w:szCs w:val="28"/>
        </w:rPr>
        <w:t>4-7</w:t>
      </w:r>
      <w:r>
        <w:rPr>
          <w:rFonts w:ascii="楷体_GB2312" w:eastAsia="楷体_GB2312" w:hAnsi="楷体_GB2312" w:cs="楷体_GB2312" w:hint="eastAsia"/>
          <w:kern w:val="0"/>
          <w:sz w:val="28"/>
          <w:szCs w:val="28"/>
        </w:rPr>
        <w:t>）。毕业生反映需要改进的方面主要集中在宿舍和食堂，分别占</w:t>
      </w:r>
      <w:r>
        <w:rPr>
          <w:rFonts w:ascii="楷体_GB2312" w:eastAsia="楷体_GB2312" w:hAnsi="楷体_GB2312" w:cs="楷体_GB2312" w:hint="eastAsia"/>
          <w:kern w:val="0"/>
          <w:sz w:val="28"/>
          <w:szCs w:val="28"/>
        </w:rPr>
        <w:t>69.27%</w:t>
      </w:r>
      <w:r>
        <w:rPr>
          <w:rFonts w:ascii="楷体_GB2312" w:eastAsia="楷体_GB2312" w:hAnsi="楷体_GB2312" w:cs="楷体_GB2312" w:hint="eastAsia"/>
          <w:kern w:val="0"/>
          <w:sz w:val="28"/>
          <w:szCs w:val="28"/>
        </w:rPr>
        <w:t>和</w:t>
      </w:r>
      <w:r>
        <w:rPr>
          <w:rFonts w:ascii="楷体_GB2312" w:eastAsia="楷体_GB2312" w:hAnsi="楷体_GB2312" w:cs="楷体_GB2312" w:hint="eastAsia"/>
          <w:kern w:val="0"/>
          <w:sz w:val="28"/>
          <w:szCs w:val="28"/>
        </w:rPr>
        <w:t>60.88%</w:t>
      </w:r>
      <w:r>
        <w:rPr>
          <w:rFonts w:ascii="楷体_GB2312" w:eastAsia="楷体_GB2312" w:hAnsi="楷体_GB2312" w:cs="楷体_GB2312" w:hint="eastAsia"/>
          <w:kern w:val="0"/>
          <w:sz w:val="28"/>
          <w:szCs w:val="28"/>
        </w:rPr>
        <w:t>（见图</w:t>
      </w:r>
      <w:r>
        <w:rPr>
          <w:rFonts w:ascii="楷体_GB2312" w:eastAsia="楷体_GB2312" w:hAnsi="楷体_GB2312" w:cs="楷体_GB2312" w:hint="eastAsia"/>
          <w:kern w:val="0"/>
          <w:sz w:val="28"/>
          <w:szCs w:val="28"/>
        </w:rPr>
        <w:t>4-8</w:t>
      </w:r>
      <w:r>
        <w:rPr>
          <w:rFonts w:ascii="楷体_GB2312" w:eastAsia="楷体_GB2312" w:hAnsi="楷体_GB2312" w:cs="楷体_GB2312" w:hint="eastAsia"/>
          <w:kern w:val="0"/>
          <w:sz w:val="28"/>
          <w:szCs w:val="28"/>
        </w:rPr>
        <w:t>）。</w:t>
      </w:r>
    </w:p>
    <w:p w:rsidR="00000000" w:rsidRDefault="009A1129">
      <w:pPr>
        <w:autoSpaceDE w:val="0"/>
        <w:autoSpaceDN w:val="0"/>
        <w:adjustRightInd w:val="0"/>
        <w:spacing w:line="520" w:lineRule="exact"/>
        <w:ind w:firstLineChars="200" w:firstLine="560"/>
        <w:jc w:val="left"/>
        <w:rPr>
          <w:rFonts w:ascii="楷体_GB2312" w:eastAsia="楷体_GB2312" w:hAnsi="楷体_GB2312" w:cs="楷体_GB2312" w:hint="eastAsia"/>
          <w:kern w:val="0"/>
          <w:sz w:val="28"/>
          <w:szCs w:val="28"/>
        </w:rPr>
      </w:pPr>
    </w:p>
    <w:bookmarkStart w:id="21" w:name="毕业生对母校生活服务的满意度"/>
    <w:bookmarkEnd w:id="21"/>
    <w:bookmarkStart w:id="22" w:name="_1574777491"/>
    <w:bookmarkEnd w:id="22"/>
    <w:p w:rsidR="00000000" w:rsidRDefault="009A1129">
      <w:pPr>
        <w:pStyle w:val="11"/>
        <w:rPr>
          <w:rFonts w:ascii="Calibri" w:hAnsi="Calibri" w:hint="eastAsia"/>
          <w:b w:val="0"/>
        </w:rPr>
      </w:pPr>
      <w:r>
        <w:rPr>
          <w:rFonts w:ascii="Calibri" w:hAnsi="Calibri"/>
        </w:rPr>
        <w:object w:dxaOrig="8076" w:dyaOrig="3899">
          <v:shape id="对象 39" o:spid="_x0000_i1034" type="#_x0000_t75" style="width:403.5pt;height:195pt;mso-wrap-style:square;mso-position-horizontal-relative:page;mso-position-vertical-relative:page" o:ole="">
            <v:fill o:detectmouseclick="t"/>
            <v:imagedata r:id="rId40" o:title=""/>
          </v:shape>
          <o:OLEObject Type="Embed" ProgID="Excel.Sheet.12" ShapeID="对象 39" DrawAspect="Content" ObjectID="_1598980138" r:id="rId41"/>
        </w:object>
      </w:r>
    </w:p>
    <w:p w:rsidR="00000000" w:rsidRDefault="009A1129">
      <w:pPr>
        <w:pStyle w:val="a8"/>
        <w:spacing w:line="360" w:lineRule="auto"/>
        <w:ind w:left="0"/>
        <w:rPr>
          <w:rFonts w:ascii="楷体_GB2312" w:eastAsia="楷体_GB2312" w:hAnsi="楷体_GB2312" w:cs="楷体_GB2312" w:hint="eastAsia"/>
          <w:bCs/>
          <w:sz w:val="28"/>
          <w:szCs w:val="28"/>
        </w:rPr>
      </w:pPr>
      <w:bookmarkStart w:id="23" w:name="_Toc468717610"/>
      <w:r>
        <w:rPr>
          <w:rFonts w:ascii="楷体_GB2312" w:eastAsia="楷体_GB2312" w:hAnsi="楷体_GB2312" w:cs="楷体_GB2312" w:hint="eastAsia"/>
          <w:bCs/>
          <w:sz w:val="28"/>
          <w:szCs w:val="28"/>
        </w:rPr>
        <w:t>图</w:t>
      </w:r>
      <w:r>
        <w:rPr>
          <w:rFonts w:ascii="楷体_GB2312" w:eastAsia="楷体_GB2312" w:hAnsi="楷体_GB2312" w:cs="楷体_GB2312" w:hint="eastAsia"/>
          <w:bCs/>
          <w:sz w:val="28"/>
          <w:szCs w:val="28"/>
        </w:rPr>
        <w:t>4-7  2017</w:t>
      </w:r>
      <w:r>
        <w:rPr>
          <w:rFonts w:ascii="楷体_GB2312" w:eastAsia="楷体_GB2312" w:hAnsi="楷体_GB2312" w:cs="楷体_GB2312" w:hint="eastAsia"/>
          <w:bCs/>
          <w:sz w:val="28"/>
          <w:szCs w:val="28"/>
        </w:rPr>
        <w:t>届毕业生对母校生活服务的满意度</w:t>
      </w:r>
      <w:bookmarkEnd w:id="23"/>
    </w:p>
    <w:bookmarkStart w:id="24" w:name="_1574777564"/>
    <w:bookmarkEnd w:id="24"/>
    <w:p w:rsidR="00000000" w:rsidRDefault="009A1129">
      <w:pPr>
        <w:rPr>
          <w:rFonts w:ascii="Calibri" w:hAnsi="Calibri"/>
          <w:b/>
        </w:rPr>
      </w:pPr>
      <w:r>
        <w:rPr>
          <w:rFonts w:ascii="Calibri" w:hAnsi="Calibri"/>
          <w:b/>
        </w:rPr>
        <w:object w:dxaOrig="8205" w:dyaOrig="3698">
          <v:shape id="对象 32" o:spid="_x0000_i1035" type="#_x0000_t75" style="width:410.25pt;height:185.25pt;mso-wrap-style:square;mso-position-horizontal-relative:page;mso-position-vertical-relative:page" o:ole="">
            <v:fill o:detectmouseclick="t"/>
            <v:imagedata r:id="rId42" o:title=""/>
          </v:shape>
          <o:OLEObject Type="Embed" ProgID="Excel.Sheet.12" ShapeID="对象 32" DrawAspect="Content" ObjectID="_1598980139" r:id="rId43"/>
        </w:object>
      </w:r>
    </w:p>
    <w:p w:rsidR="00000000" w:rsidRDefault="009A1129">
      <w:pPr>
        <w:pStyle w:val="a8"/>
        <w:spacing w:line="360" w:lineRule="auto"/>
        <w:rPr>
          <w:rFonts w:ascii="楷体_GB2312" w:eastAsia="楷体_GB2312" w:hAnsi="楷体_GB2312" w:cs="楷体_GB2312" w:hint="eastAsia"/>
          <w:bCs/>
          <w:sz w:val="28"/>
          <w:szCs w:val="28"/>
        </w:rPr>
      </w:pPr>
      <w:r>
        <w:rPr>
          <w:rFonts w:ascii="楷体_GB2312" w:eastAsia="楷体_GB2312" w:hAnsi="楷体_GB2312" w:cs="楷体_GB2312" w:hint="eastAsia"/>
          <w:bCs/>
          <w:sz w:val="28"/>
          <w:szCs w:val="28"/>
        </w:rPr>
        <w:t>图</w:t>
      </w:r>
      <w:r>
        <w:rPr>
          <w:rFonts w:ascii="楷体_GB2312" w:eastAsia="楷体_GB2312" w:hAnsi="楷体_GB2312" w:cs="楷体_GB2312" w:hint="eastAsia"/>
          <w:bCs/>
          <w:sz w:val="28"/>
          <w:szCs w:val="28"/>
        </w:rPr>
        <w:t xml:space="preserve">4-8  </w:t>
      </w:r>
      <w:bookmarkStart w:id="25" w:name="_Toc499539780"/>
      <w:r>
        <w:rPr>
          <w:rFonts w:ascii="楷体_GB2312" w:eastAsia="楷体_GB2312" w:hAnsi="楷体_GB2312" w:cs="楷体_GB2312" w:hint="eastAsia"/>
          <w:bCs/>
          <w:sz w:val="28"/>
          <w:szCs w:val="28"/>
        </w:rPr>
        <w:t>2017</w:t>
      </w:r>
      <w:r>
        <w:rPr>
          <w:rFonts w:ascii="楷体_GB2312" w:eastAsia="楷体_GB2312" w:hAnsi="楷体_GB2312" w:cs="楷体_GB2312" w:hint="eastAsia"/>
          <w:bCs/>
          <w:sz w:val="28"/>
          <w:szCs w:val="28"/>
        </w:rPr>
        <w:t>届毕业生认为母校生活服务</w:t>
      </w:r>
    </w:p>
    <w:p w:rsidR="00000000" w:rsidRDefault="009A1129">
      <w:pPr>
        <w:pStyle w:val="a8"/>
        <w:spacing w:line="360" w:lineRule="auto"/>
        <w:rPr>
          <w:rFonts w:ascii="楷体_GB2312" w:eastAsia="楷体_GB2312" w:hAnsi="楷体_GB2312" w:cs="楷体_GB2312" w:hint="eastAsia"/>
          <w:bCs/>
          <w:sz w:val="28"/>
          <w:szCs w:val="28"/>
        </w:rPr>
      </w:pPr>
      <w:r>
        <w:rPr>
          <w:rFonts w:ascii="楷体_GB2312" w:eastAsia="楷体_GB2312" w:hAnsi="楷体_GB2312" w:cs="楷体_GB2312" w:hint="eastAsia"/>
          <w:bCs/>
          <w:sz w:val="28"/>
          <w:szCs w:val="28"/>
        </w:rPr>
        <w:t>需要改进的地方（多选）</w:t>
      </w:r>
      <w:bookmarkEnd w:id="25"/>
    </w:p>
    <w:p w:rsidR="00000000" w:rsidRDefault="009A1129"/>
    <w:p w:rsidR="00000000" w:rsidRDefault="009A1129">
      <w:pPr>
        <w:pStyle w:val="3"/>
        <w:spacing w:before="120" w:after="120"/>
        <w:rPr>
          <w:rFonts w:ascii="楷体_GB2312" w:eastAsia="楷体_GB2312" w:hAnsi="楷体_GB2312" w:cs="楷体_GB2312" w:hint="eastAsia"/>
          <w:sz w:val="32"/>
        </w:rPr>
      </w:pPr>
      <w:bookmarkStart w:id="26" w:name="_Toc468369549"/>
      <w:bookmarkStart w:id="27" w:name="_Toc468369548"/>
      <w:r>
        <w:rPr>
          <w:rFonts w:ascii="楷体_GB2312" w:eastAsia="楷体_GB2312" w:hAnsi="楷体_GB2312" w:cs="楷体_GB2312" w:hint="eastAsia"/>
          <w:sz w:val="32"/>
        </w:rPr>
        <w:t>（四）对就业指导服务的评价</w:t>
      </w:r>
      <w:bookmarkEnd w:id="26"/>
    </w:p>
    <w:p w:rsidR="00000000" w:rsidRDefault="009A1129">
      <w:pPr>
        <w:pStyle w:val="aa"/>
        <w:spacing w:line="480" w:lineRule="auto"/>
        <w:ind w:firstLineChars="200" w:firstLine="560"/>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我院</w:t>
      </w:r>
      <w:r>
        <w:rPr>
          <w:rFonts w:ascii="楷体_GB2312" w:eastAsia="楷体_GB2312" w:hAnsi="楷体_GB2312" w:cs="楷体_GB2312" w:hint="eastAsia"/>
          <w:kern w:val="0"/>
          <w:sz w:val="28"/>
          <w:szCs w:val="28"/>
        </w:rPr>
        <w:t>2017</w:t>
      </w:r>
      <w:r>
        <w:rPr>
          <w:rFonts w:ascii="楷体_GB2312" w:eastAsia="楷体_GB2312" w:hAnsi="楷体_GB2312" w:cs="楷体_GB2312" w:hint="eastAsia"/>
          <w:kern w:val="0"/>
          <w:sz w:val="28"/>
          <w:szCs w:val="28"/>
        </w:rPr>
        <w:t>届毕业生对母校就业指导服务工作的满意度为</w:t>
      </w:r>
      <w:r>
        <w:rPr>
          <w:rFonts w:ascii="楷体_GB2312" w:eastAsia="楷体_GB2312" w:hAnsi="楷体_GB2312" w:cs="楷体_GB2312" w:hint="eastAsia"/>
          <w:kern w:val="0"/>
          <w:sz w:val="28"/>
          <w:szCs w:val="28"/>
        </w:rPr>
        <w:t>94.9</w:t>
      </w:r>
      <w:r>
        <w:rPr>
          <w:rFonts w:ascii="楷体_GB2312" w:eastAsia="楷体_GB2312" w:hAnsi="楷体_GB2312" w:cs="楷体_GB2312" w:hint="eastAsia"/>
          <w:kern w:val="0"/>
          <w:sz w:val="28"/>
          <w:szCs w:val="28"/>
        </w:rPr>
        <w:t>8%</w:t>
      </w:r>
      <w:r>
        <w:rPr>
          <w:rFonts w:ascii="楷体_GB2312" w:eastAsia="楷体_GB2312" w:hAnsi="楷体_GB2312" w:cs="楷体_GB2312" w:hint="eastAsia"/>
          <w:kern w:val="0"/>
          <w:sz w:val="28"/>
          <w:szCs w:val="28"/>
        </w:rPr>
        <w:t>，其中非常满意的占</w:t>
      </w:r>
      <w:r>
        <w:rPr>
          <w:rFonts w:ascii="楷体_GB2312" w:eastAsia="楷体_GB2312" w:hAnsi="楷体_GB2312" w:cs="楷体_GB2312" w:hint="eastAsia"/>
          <w:kern w:val="0"/>
          <w:sz w:val="28"/>
          <w:szCs w:val="28"/>
        </w:rPr>
        <w:t>36.45%</w:t>
      </w:r>
      <w:r>
        <w:rPr>
          <w:rFonts w:ascii="楷体_GB2312" w:eastAsia="楷体_GB2312" w:hAnsi="楷体_GB2312" w:cs="楷体_GB2312" w:hint="eastAsia"/>
          <w:kern w:val="0"/>
          <w:sz w:val="28"/>
          <w:szCs w:val="28"/>
        </w:rPr>
        <w:t>（见图</w:t>
      </w:r>
      <w:r>
        <w:rPr>
          <w:rFonts w:ascii="楷体_GB2312" w:eastAsia="楷体_GB2312" w:hAnsi="楷体_GB2312" w:cs="楷体_GB2312" w:hint="eastAsia"/>
          <w:kern w:val="0"/>
          <w:sz w:val="28"/>
          <w:szCs w:val="28"/>
        </w:rPr>
        <w:t>4-9</w:t>
      </w:r>
      <w:r>
        <w:rPr>
          <w:rFonts w:ascii="楷体_GB2312" w:eastAsia="楷体_GB2312" w:hAnsi="楷体_GB2312" w:cs="楷体_GB2312" w:hint="eastAsia"/>
          <w:kern w:val="0"/>
          <w:sz w:val="28"/>
          <w:szCs w:val="28"/>
        </w:rPr>
        <w:t>）。毕业生反映母校就业指导服务工作需要改进的方面是加强求职方法技巧辅导，占</w:t>
      </w:r>
      <w:r>
        <w:rPr>
          <w:rFonts w:ascii="楷体_GB2312" w:eastAsia="楷体_GB2312" w:hAnsi="楷体_GB2312" w:cs="楷体_GB2312" w:hint="eastAsia"/>
          <w:kern w:val="0"/>
          <w:sz w:val="28"/>
          <w:szCs w:val="28"/>
        </w:rPr>
        <w:t>52.71%</w:t>
      </w:r>
      <w:r>
        <w:rPr>
          <w:rFonts w:ascii="楷体_GB2312" w:eastAsia="楷体_GB2312" w:hAnsi="楷体_GB2312" w:cs="楷体_GB2312" w:hint="eastAsia"/>
          <w:kern w:val="0"/>
          <w:sz w:val="28"/>
          <w:szCs w:val="28"/>
        </w:rPr>
        <w:t>（见图</w:t>
      </w:r>
      <w:r>
        <w:rPr>
          <w:rFonts w:ascii="楷体_GB2312" w:eastAsia="楷体_GB2312" w:hAnsi="楷体_GB2312" w:cs="楷体_GB2312" w:hint="eastAsia"/>
          <w:kern w:val="0"/>
          <w:sz w:val="28"/>
          <w:szCs w:val="28"/>
        </w:rPr>
        <w:t>4-10</w:t>
      </w:r>
      <w:r>
        <w:rPr>
          <w:rFonts w:ascii="楷体_GB2312" w:eastAsia="楷体_GB2312" w:hAnsi="楷体_GB2312" w:cs="楷体_GB2312" w:hint="eastAsia"/>
          <w:kern w:val="0"/>
          <w:sz w:val="28"/>
          <w:szCs w:val="28"/>
        </w:rPr>
        <w:t>）。</w:t>
      </w:r>
      <w:r>
        <w:rPr>
          <w:rFonts w:ascii="楷体_GB2312" w:eastAsia="楷体_GB2312" w:hAnsi="楷体_GB2312" w:cs="楷体_GB2312" w:hint="eastAsia"/>
          <w:kern w:val="0"/>
          <w:sz w:val="28"/>
          <w:szCs w:val="28"/>
        </w:rPr>
        <w:t xml:space="preserve">  </w:t>
      </w:r>
      <w:bookmarkStart w:id="28" w:name="_1574777490"/>
      <w:bookmarkEnd w:id="28"/>
      <w:r>
        <w:rPr>
          <w:rFonts w:ascii="Calibri" w:hAnsi="Calibri"/>
          <w:b/>
        </w:rPr>
        <w:object w:dxaOrig="7406" w:dyaOrig="3535">
          <v:shape id="_x0000_i1036" type="#_x0000_t75" style="width:370.5pt;height:177pt;mso-wrap-style:square;mso-position-horizontal-relative:page;mso-position-vertical-relative:page" o:ole="">
            <v:imagedata r:id="rId44" o:title=""/>
          </v:shape>
          <o:OLEObject Type="Embed" ProgID="Excel.Sheet.12" ShapeID="_x0000_i1036" DrawAspect="Content" ObjectID="_1598980140" r:id="rId45"/>
        </w:object>
      </w:r>
    </w:p>
    <w:p w:rsidR="00000000" w:rsidRDefault="009A1129">
      <w:pPr>
        <w:pStyle w:val="a8"/>
        <w:spacing w:line="360" w:lineRule="auto"/>
        <w:ind w:left="0"/>
        <w:rPr>
          <w:rFonts w:ascii="楷体_GB2312" w:eastAsia="楷体_GB2312" w:hAnsi="楷体_GB2312" w:cs="楷体_GB2312" w:hint="eastAsia"/>
          <w:bCs/>
          <w:sz w:val="28"/>
          <w:szCs w:val="28"/>
        </w:rPr>
      </w:pPr>
      <w:bookmarkStart w:id="29" w:name="毕业生对母校就业指导服务的满意度"/>
      <w:bookmarkStart w:id="30" w:name="_Toc468717616"/>
      <w:bookmarkEnd w:id="29"/>
      <w:r>
        <w:rPr>
          <w:rFonts w:ascii="楷体_GB2312" w:eastAsia="楷体_GB2312" w:hAnsi="楷体_GB2312" w:cs="楷体_GB2312" w:hint="eastAsia"/>
          <w:bCs/>
          <w:sz w:val="28"/>
          <w:szCs w:val="28"/>
        </w:rPr>
        <w:t>图</w:t>
      </w:r>
      <w:r>
        <w:rPr>
          <w:rFonts w:ascii="楷体_GB2312" w:eastAsia="楷体_GB2312" w:hAnsi="楷体_GB2312" w:cs="楷体_GB2312" w:hint="eastAsia"/>
          <w:bCs/>
          <w:sz w:val="28"/>
          <w:szCs w:val="28"/>
        </w:rPr>
        <w:t>4-9  2017</w:t>
      </w:r>
      <w:r>
        <w:rPr>
          <w:rFonts w:ascii="楷体_GB2312" w:eastAsia="楷体_GB2312" w:hAnsi="楷体_GB2312" w:cs="楷体_GB2312" w:hint="eastAsia"/>
          <w:bCs/>
          <w:sz w:val="28"/>
          <w:szCs w:val="28"/>
        </w:rPr>
        <w:t>届毕业生对母校就业指导服务的满意度</w:t>
      </w:r>
      <w:bookmarkEnd w:id="30"/>
    </w:p>
    <w:p w:rsidR="00000000" w:rsidRDefault="009A1129">
      <w:pPr>
        <w:rPr>
          <w:rFonts w:hint="eastAsia"/>
        </w:rPr>
      </w:pPr>
    </w:p>
    <w:bookmarkStart w:id="31" w:name="_1574777562"/>
    <w:bookmarkEnd w:id="31"/>
    <w:p w:rsidR="00000000" w:rsidRDefault="009A1129">
      <w:pPr>
        <w:jc w:val="center"/>
        <w:rPr>
          <w:rFonts w:ascii="Calibri" w:hAnsi="Calibri"/>
          <w:b/>
        </w:rPr>
      </w:pPr>
      <w:r>
        <w:rPr>
          <w:rFonts w:ascii="Calibri" w:hAnsi="Calibri"/>
          <w:b/>
        </w:rPr>
        <w:object w:dxaOrig="7886" w:dyaOrig="3087">
          <v:shape id="对象 35" o:spid="_x0000_i1037" type="#_x0000_t75" style="width:394.5pt;height:154.5pt;mso-wrap-style:square;mso-position-horizontal-relative:page;mso-position-vertical-relative:page" o:ole="">
            <v:fill o:detectmouseclick="t"/>
            <v:imagedata r:id="rId46" o:title=""/>
          </v:shape>
          <o:OLEObject Type="Embed" ProgID="Excel.Sheet.12" ShapeID="对象 35" DrawAspect="Content" ObjectID="_1598980141" r:id="rId47"/>
        </w:object>
      </w:r>
    </w:p>
    <w:p w:rsidR="00000000" w:rsidRDefault="009A1129">
      <w:pPr>
        <w:jc w:val="center"/>
        <w:rPr>
          <w:rFonts w:ascii="楷体_GB2312" w:eastAsia="楷体_GB2312" w:hAnsi="楷体_GB2312" w:cs="楷体_GB2312" w:hint="eastAsia"/>
          <w:b/>
          <w:bCs/>
          <w:sz w:val="28"/>
          <w:szCs w:val="28"/>
        </w:rPr>
      </w:pPr>
      <w:r>
        <w:rPr>
          <w:rFonts w:ascii="楷体_GB2312" w:eastAsia="楷体_GB2312" w:hAnsi="楷体_GB2312" w:cs="楷体_GB2312" w:hint="eastAsia"/>
          <w:b/>
          <w:bCs/>
          <w:sz w:val="28"/>
          <w:szCs w:val="28"/>
        </w:rPr>
        <w:t>图</w:t>
      </w:r>
      <w:r>
        <w:rPr>
          <w:rFonts w:ascii="楷体_GB2312" w:eastAsia="楷体_GB2312" w:hAnsi="楷体_GB2312" w:cs="楷体_GB2312" w:hint="eastAsia"/>
          <w:b/>
          <w:bCs/>
          <w:sz w:val="28"/>
          <w:szCs w:val="28"/>
        </w:rPr>
        <w:t xml:space="preserve">4-10 </w:t>
      </w:r>
      <w:bookmarkStart w:id="32" w:name="_Toc499539787"/>
      <w:r>
        <w:rPr>
          <w:rFonts w:ascii="楷体_GB2312" w:eastAsia="楷体_GB2312" w:hAnsi="楷体_GB2312" w:cs="楷体_GB2312" w:hint="eastAsia"/>
          <w:b/>
          <w:bCs/>
          <w:sz w:val="28"/>
          <w:szCs w:val="28"/>
        </w:rPr>
        <w:t xml:space="preserve"> 2017</w:t>
      </w:r>
      <w:r>
        <w:rPr>
          <w:rFonts w:ascii="楷体_GB2312" w:eastAsia="楷体_GB2312" w:hAnsi="楷体_GB2312" w:cs="楷体_GB2312" w:hint="eastAsia"/>
          <w:b/>
          <w:bCs/>
          <w:sz w:val="28"/>
          <w:szCs w:val="28"/>
        </w:rPr>
        <w:t>届毕业生认为母校就业指导服务</w:t>
      </w:r>
    </w:p>
    <w:p w:rsidR="00000000" w:rsidRDefault="009A1129">
      <w:pPr>
        <w:jc w:val="center"/>
        <w:rPr>
          <w:rFonts w:ascii="楷体_GB2312" w:eastAsia="楷体_GB2312" w:hAnsi="楷体_GB2312" w:cs="楷体_GB2312" w:hint="eastAsia"/>
          <w:b/>
          <w:bCs/>
          <w:sz w:val="28"/>
          <w:szCs w:val="28"/>
        </w:rPr>
      </w:pPr>
      <w:r>
        <w:rPr>
          <w:rFonts w:ascii="楷体_GB2312" w:eastAsia="楷体_GB2312" w:hAnsi="楷体_GB2312" w:cs="楷体_GB2312" w:hint="eastAsia"/>
          <w:b/>
          <w:bCs/>
          <w:sz w:val="28"/>
          <w:szCs w:val="28"/>
        </w:rPr>
        <w:t>需要改进的地方（多选）</w:t>
      </w:r>
      <w:bookmarkEnd w:id="32"/>
    </w:p>
    <w:p w:rsidR="00000000" w:rsidRDefault="009A1129">
      <w:pPr>
        <w:jc w:val="center"/>
        <w:rPr>
          <w:rFonts w:ascii="楷体_GB2312" w:eastAsia="楷体_GB2312" w:hAnsi="楷体_GB2312" w:cs="楷体_GB2312" w:hint="eastAsia"/>
          <w:b/>
          <w:bCs/>
          <w:sz w:val="28"/>
          <w:szCs w:val="28"/>
        </w:rPr>
      </w:pPr>
    </w:p>
    <w:p w:rsidR="00000000" w:rsidRDefault="009A1129">
      <w:pPr>
        <w:pStyle w:val="3"/>
        <w:spacing w:before="120" w:after="120"/>
        <w:rPr>
          <w:rFonts w:ascii="楷体_GB2312" w:eastAsia="楷体_GB2312" w:hAnsi="楷体_GB2312" w:cs="楷体_GB2312" w:hint="eastAsia"/>
          <w:sz w:val="32"/>
        </w:rPr>
      </w:pPr>
      <w:r>
        <w:rPr>
          <w:rFonts w:ascii="楷体_GB2312" w:eastAsia="楷体_GB2312" w:hAnsi="楷体_GB2312" w:cs="楷体_GB2312" w:hint="eastAsia"/>
          <w:sz w:val="32"/>
        </w:rPr>
        <w:t>（五）对创新创业教育的评价</w:t>
      </w:r>
      <w:bookmarkEnd w:id="27"/>
    </w:p>
    <w:p w:rsidR="00000000" w:rsidRDefault="009A1129">
      <w:pPr>
        <w:autoSpaceDE w:val="0"/>
        <w:autoSpaceDN w:val="0"/>
        <w:adjustRightInd w:val="0"/>
        <w:spacing w:line="480" w:lineRule="auto"/>
        <w:ind w:firstLineChars="200" w:firstLine="560"/>
        <w:jc w:val="left"/>
        <w:rPr>
          <w:rFonts w:ascii="Calibri" w:hAnsi="Calibri" w:hint="eastAsia"/>
          <w:b/>
          <w:bCs/>
        </w:rPr>
      </w:pPr>
      <w:r>
        <w:rPr>
          <w:rFonts w:ascii="楷体_GB2312" w:eastAsia="楷体_GB2312" w:hAnsi="楷体_GB2312" w:cs="楷体_GB2312" w:hint="eastAsia"/>
          <w:kern w:val="0"/>
          <w:sz w:val="28"/>
          <w:szCs w:val="28"/>
        </w:rPr>
        <w:t>我院</w:t>
      </w:r>
      <w:r>
        <w:rPr>
          <w:rFonts w:ascii="楷体_GB2312" w:eastAsia="楷体_GB2312" w:hAnsi="楷体_GB2312" w:cs="楷体_GB2312" w:hint="eastAsia"/>
          <w:kern w:val="0"/>
          <w:sz w:val="28"/>
          <w:szCs w:val="28"/>
        </w:rPr>
        <w:t>2017</w:t>
      </w:r>
      <w:r>
        <w:rPr>
          <w:rFonts w:ascii="楷体_GB2312" w:eastAsia="楷体_GB2312" w:hAnsi="楷体_GB2312" w:cs="楷体_GB2312" w:hint="eastAsia"/>
          <w:kern w:val="0"/>
          <w:sz w:val="28"/>
          <w:szCs w:val="28"/>
        </w:rPr>
        <w:t>届毕业生对母校创新创业指导服务的满意度为</w:t>
      </w:r>
      <w:r>
        <w:rPr>
          <w:rFonts w:ascii="楷体_GB2312" w:eastAsia="楷体_GB2312" w:hAnsi="楷体_GB2312" w:cs="楷体_GB2312" w:hint="eastAsia"/>
          <w:kern w:val="0"/>
          <w:sz w:val="28"/>
          <w:szCs w:val="28"/>
        </w:rPr>
        <w:t>94.61%</w:t>
      </w:r>
      <w:r>
        <w:rPr>
          <w:rFonts w:ascii="楷体_GB2312" w:eastAsia="楷体_GB2312" w:hAnsi="楷体_GB2312" w:cs="楷体_GB2312" w:hint="eastAsia"/>
          <w:kern w:val="0"/>
          <w:sz w:val="28"/>
          <w:szCs w:val="28"/>
        </w:rPr>
        <w:t>，对创新创业实践训练的满意度为</w:t>
      </w:r>
      <w:r>
        <w:rPr>
          <w:rFonts w:ascii="楷体_GB2312" w:eastAsia="楷体_GB2312" w:hAnsi="楷体_GB2312" w:cs="楷体_GB2312" w:hint="eastAsia"/>
          <w:kern w:val="0"/>
          <w:sz w:val="28"/>
          <w:szCs w:val="28"/>
        </w:rPr>
        <w:t>94.68%</w:t>
      </w:r>
      <w:r>
        <w:rPr>
          <w:rFonts w:ascii="楷体_GB2312" w:eastAsia="楷体_GB2312" w:hAnsi="楷体_GB2312" w:cs="楷体_GB2312" w:hint="eastAsia"/>
          <w:kern w:val="0"/>
          <w:sz w:val="28"/>
          <w:szCs w:val="28"/>
        </w:rPr>
        <w:t>，对创新创业教育教学的满意度为</w:t>
      </w:r>
      <w:r>
        <w:rPr>
          <w:rFonts w:ascii="楷体_GB2312" w:eastAsia="楷体_GB2312" w:hAnsi="楷体_GB2312" w:cs="楷体_GB2312" w:hint="eastAsia"/>
          <w:kern w:val="0"/>
          <w:sz w:val="28"/>
          <w:szCs w:val="28"/>
        </w:rPr>
        <w:t>94.01%</w:t>
      </w:r>
      <w:r>
        <w:rPr>
          <w:rFonts w:ascii="楷体_GB2312" w:eastAsia="楷体_GB2312" w:hAnsi="楷体_GB2312" w:cs="楷体_GB2312" w:hint="eastAsia"/>
          <w:kern w:val="0"/>
          <w:sz w:val="28"/>
          <w:szCs w:val="28"/>
        </w:rPr>
        <w:t>，其中非常满意的分别占</w:t>
      </w:r>
      <w:r>
        <w:rPr>
          <w:rFonts w:ascii="楷体_GB2312" w:eastAsia="楷体_GB2312" w:hAnsi="楷体_GB2312" w:cs="楷体_GB2312" w:hint="eastAsia"/>
          <w:kern w:val="0"/>
          <w:sz w:val="28"/>
          <w:szCs w:val="28"/>
        </w:rPr>
        <w:t>35.38%</w:t>
      </w:r>
      <w:r>
        <w:rPr>
          <w:rFonts w:ascii="楷体_GB2312" w:eastAsia="楷体_GB2312" w:hAnsi="楷体_GB2312" w:cs="楷体_GB2312" w:hint="eastAsia"/>
          <w:kern w:val="0"/>
          <w:sz w:val="28"/>
          <w:szCs w:val="28"/>
        </w:rPr>
        <w:t>、</w:t>
      </w:r>
      <w:r>
        <w:rPr>
          <w:rFonts w:ascii="楷体_GB2312" w:eastAsia="楷体_GB2312" w:hAnsi="楷体_GB2312" w:cs="楷体_GB2312" w:hint="eastAsia"/>
          <w:kern w:val="0"/>
          <w:sz w:val="28"/>
          <w:szCs w:val="28"/>
        </w:rPr>
        <w:t>34.44%</w:t>
      </w:r>
      <w:r>
        <w:rPr>
          <w:rFonts w:ascii="楷体_GB2312" w:eastAsia="楷体_GB2312" w:hAnsi="楷体_GB2312" w:cs="楷体_GB2312" w:hint="eastAsia"/>
          <w:kern w:val="0"/>
          <w:sz w:val="28"/>
          <w:szCs w:val="28"/>
        </w:rPr>
        <w:t>和</w:t>
      </w:r>
      <w:r>
        <w:rPr>
          <w:rFonts w:ascii="楷体_GB2312" w:eastAsia="楷体_GB2312" w:hAnsi="楷体_GB2312" w:cs="楷体_GB2312" w:hint="eastAsia"/>
          <w:kern w:val="0"/>
          <w:sz w:val="28"/>
          <w:szCs w:val="28"/>
        </w:rPr>
        <w:t>34.55%</w:t>
      </w:r>
      <w:r>
        <w:rPr>
          <w:rFonts w:ascii="楷体_GB2312" w:eastAsia="楷体_GB2312" w:hAnsi="楷体_GB2312" w:cs="楷体_GB2312" w:hint="eastAsia"/>
          <w:kern w:val="0"/>
          <w:sz w:val="28"/>
          <w:szCs w:val="28"/>
        </w:rPr>
        <w:t>（见图</w:t>
      </w:r>
      <w:r>
        <w:rPr>
          <w:rFonts w:ascii="楷体_GB2312" w:eastAsia="楷体_GB2312" w:hAnsi="楷体_GB2312" w:cs="楷体_GB2312" w:hint="eastAsia"/>
          <w:kern w:val="0"/>
          <w:sz w:val="28"/>
          <w:szCs w:val="28"/>
        </w:rPr>
        <w:t>4-11</w:t>
      </w:r>
      <w:r>
        <w:rPr>
          <w:rFonts w:ascii="楷体_GB2312" w:eastAsia="楷体_GB2312" w:hAnsi="楷体_GB2312" w:cs="楷体_GB2312" w:hint="eastAsia"/>
          <w:kern w:val="0"/>
          <w:sz w:val="28"/>
          <w:szCs w:val="28"/>
        </w:rPr>
        <w:t>）。毕业生反映母校</w:t>
      </w:r>
      <w:r>
        <w:rPr>
          <w:rFonts w:ascii="楷体_GB2312" w:eastAsia="楷体_GB2312" w:hAnsi="楷体_GB2312" w:cs="楷体_GB2312" w:hint="eastAsia"/>
          <w:kern w:val="0"/>
          <w:sz w:val="28"/>
          <w:szCs w:val="28"/>
        </w:rPr>
        <w:t>创新创业教育教学需要改进的方面是课程要与专业教育进一步融合（</w:t>
      </w:r>
      <w:r>
        <w:rPr>
          <w:rFonts w:ascii="楷体_GB2312" w:eastAsia="楷体_GB2312" w:hAnsi="楷体_GB2312" w:cs="楷体_GB2312" w:hint="eastAsia"/>
          <w:kern w:val="0"/>
          <w:sz w:val="28"/>
          <w:szCs w:val="28"/>
        </w:rPr>
        <w:t>50.55%</w:t>
      </w:r>
      <w:r>
        <w:rPr>
          <w:rFonts w:ascii="楷体_GB2312" w:eastAsia="楷体_GB2312" w:hAnsi="楷体_GB2312" w:cs="楷体_GB2312" w:hint="eastAsia"/>
          <w:kern w:val="0"/>
          <w:sz w:val="28"/>
          <w:szCs w:val="28"/>
        </w:rPr>
        <w:t>），认为母校创新创业实践训练需要改进的方面是建立相关实践基地（大学生科技园、创业园、校外实践基地等）（</w:t>
      </w:r>
      <w:r>
        <w:rPr>
          <w:rFonts w:ascii="楷体_GB2312" w:eastAsia="楷体_GB2312" w:hAnsi="楷体_GB2312" w:cs="楷体_GB2312" w:hint="eastAsia"/>
          <w:kern w:val="0"/>
          <w:sz w:val="28"/>
          <w:szCs w:val="28"/>
        </w:rPr>
        <w:t>56.78%</w:t>
      </w:r>
      <w:r>
        <w:rPr>
          <w:rFonts w:ascii="楷体_GB2312" w:eastAsia="楷体_GB2312" w:hAnsi="楷体_GB2312" w:cs="楷体_GB2312" w:hint="eastAsia"/>
          <w:kern w:val="0"/>
          <w:sz w:val="28"/>
          <w:szCs w:val="28"/>
        </w:rPr>
        <w:t>），认为母校创新创业指导服务需要改进的方面是帮助学生获得各类促进创新创业的政策利好（</w:t>
      </w:r>
      <w:r>
        <w:rPr>
          <w:rFonts w:ascii="楷体_GB2312" w:eastAsia="楷体_GB2312" w:hAnsi="楷体_GB2312" w:cs="楷体_GB2312" w:hint="eastAsia"/>
          <w:kern w:val="0"/>
          <w:sz w:val="28"/>
          <w:szCs w:val="28"/>
        </w:rPr>
        <w:t>52.61%</w:t>
      </w:r>
      <w:r>
        <w:rPr>
          <w:rFonts w:ascii="楷体_GB2312" w:eastAsia="楷体_GB2312" w:hAnsi="楷体_GB2312" w:cs="楷体_GB2312" w:hint="eastAsia"/>
          <w:kern w:val="0"/>
          <w:sz w:val="28"/>
          <w:szCs w:val="28"/>
        </w:rPr>
        <w:t>）等（见图</w:t>
      </w:r>
      <w:r>
        <w:rPr>
          <w:rFonts w:ascii="楷体_GB2312" w:eastAsia="楷体_GB2312" w:hAnsi="楷体_GB2312" w:cs="楷体_GB2312" w:hint="eastAsia"/>
          <w:kern w:val="0"/>
          <w:sz w:val="28"/>
          <w:szCs w:val="28"/>
        </w:rPr>
        <w:t>4-12</w:t>
      </w:r>
      <w:r>
        <w:rPr>
          <w:rFonts w:ascii="楷体_GB2312" w:eastAsia="楷体_GB2312" w:hAnsi="楷体_GB2312" w:cs="楷体_GB2312" w:hint="eastAsia"/>
          <w:kern w:val="0"/>
          <w:sz w:val="28"/>
          <w:szCs w:val="28"/>
        </w:rPr>
        <w:t>）。</w:t>
      </w:r>
      <w:bookmarkStart w:id="33" w:name="_1574777485"/>
      <w:bookmarkEnd w:id="33"/>
      <w:r>
        <w:rPr>
          <w:rFonts w:ascii="Calibri" w:hAnsi="Calibri"/>
          <w:b/>
        </w:rPr>
        <w:object w:dxaOrig="8205" w:dyaOrig="2091">
          <v:shape id="对象 42" o:spid="_x0000_i1038" type="#_x0000_t75" style="width:410.25pt;height:104.25pt;mso-wrap-style:square;mso-position-horizontal-relative:page;mso-position-vertical-relative:page" o:ole="">
            <v:fill o:detectmouseclick="t"/>
            <v:imagedata r:id="rId48" o:title=""/>
          </v:shape>
          <o:OLEObject Type="Embed" ProgID="Excel.Sheet.12" ShapeID="对象 42" DrawAspect="Content" ObjectID="_1598980142" r:id="rId49"/>
        </w:object>
      </w:r>
    </w:p>
    <w:p w:rsidR="00000000" w:rsidRDefault="009A1129">
      <w:pPr>
        <w:pStyle w:val="a8"/>
        <w:spacing w:line="360" w:lineRule="auto"/>
        <w:ind w:left="0"/>
        <w:rPr>
          <w:rFonts w:ascii="楷体_GB2312" w:eastAsia="楷体_GB2312" w:hAnsi="楷体_GB2312" w:cs="楷体_GB2312" w:hint="eastAsia"/>
          <w:bCs/>
          <w:sz w:val="28"/>
          <w:szCs w:val="28"/>
        </w:rPr>
      </w:pPr>
      <w:bookmarkStart w:id="34" w:name="_Toc468717612"/>
      <w:r>
        <w:rPr>
          <w:rFonts w:ascii="楷体_GB2312" w:eastAsia="楷体_GB2312" w:hAnsi="楷体_GB2312" w:cs="楷体_GB2312" w:hint="eastAsia"/>
          <w:bCs/>
          <w:sz w:val="28"/>
          <w:szCs w:val="28"/>
        </w:rPr>
        <w:t>图</w:t>
      </w:r>
      <w:r>
        <w:rPr>
          <w:rFonts w:ascii="楷体_GB2312" w:eastAsia="楷体_GB2312" w:hAnsi="楷体_GB2312" w:cs="楷体_GB2312" w:hint="eastAsia"/>
          <w:bCs/>
          <w:sz w:val="28"/>
          <w:szCs w:val="28"/>
        </w:rPr>
        <w:t>4-11  2017</w:t>
      </w:r>
      <w:r>
        <w:rPr>
          <w:rFonts w:ascii="楷体_GB2312" w:eastAsia="楷体_GB2312" w:hAnsi="楷体_GB2312" w:cs="楷体_GB2312" w:hint="eastAsia"/>
          <w:bCs/>
          <w:sz w:val="28"/>
          <w:szCs w:val="28"/>
        </w:rPr>
        <w:t>届毕业生对母校创新创业教育的满意度</w:t>
      </w:r>
      <w:bookmarkEnd w:id="34"/>
    </w:p>
    <w:p w:rsidR="00000000" w:rsidRDefault="009A1129">
      <w:pPr>
        <w:rPr>
          <w:rFonts w:hint="eastAsia"/>
        </w:rPr>
      </w:pPr>
    </w:p>
    <w:bookmarkStart w:id="35" w:name="_1574777557"/>
    <w:bookmarkEnd w:id="35"/>
    <w:p w:rsidR="00000000" w:rsidRDefault="009A1129">
      <w:pPr>
        <w:rPr>
          <w:rFonts w:ascii="Calibri" w:hAnsi="Calibri"/>
        </w:rPr>
      </w:pPr>
      <w:r>
        <w:rPr>
          <w:rFonts w:ascii="Calibri" w:hAnsi="Calibri"/>
        </w:rPr>
        <w:object w:dxaOrig="8205" w:dyaOrig="4704">
          <v:shape id="_x0000_i1039" type="#_x0000_t75" style="width:410.25pt;height:235.5pt;mso-wrap-style:square;mso-position-horizontal-relative:page;mso-position-vertical-relative:page" o:ole="">
            <v:fill o:detectmouseclick="t"/>
            <v:imagedata r:id="rId50" o:title=""/>
          </v:shape>
          <o:OLEObject Type="Embed" ProgID="Excel.Sheet.12" ShapeID="_x0000_i1039" DrawAspect="Content" ObjectID="_1598980143" r:id="rId51"/>
        </w:object>
      </w:r>
    </w:p>
    <w:p w:rsidR="00000000" w:rsidRDefault="009A1129">
      <w:pPr>
        <w:pStyle w:val="a8"/>
        <w:spacing w:line="360" w:lineRule="auto"/>
        <w:rPr>
          <w:rFonts w:ascii="楷体_GB2312" w:eastAsia="楷体_GB2312" w:hAnsi="楷体_GB2312" w:cs="楷体_GB2312" w:hint="eastAsia"/>
          <w:bCs/>
          <w:sz w:val="28"/>
          <w:szCs w:val="28"/>
        </w:rPr>
      </w:pPr>
      <w:r>
        <w:rPr>
          <w:rFonts w:ascii="楷体_GB2312" w:eastAsia="楷体_GB2312" w:hAnsi="楷体_GB2312" w:cs="楷体_GB2312" w:hint="eastAsia"/>
          <w:bCs/>
          <w:sz w:val="28"/>
          <w:szCs w:val="28"/>
        </w:rPr>
        <w:t>图</w:t>
      </w:r>
      <w:r>
        <w:rPr>
          <w:rFonts w:ascii="楷体_GB2312" w:eastAsia="楷体_GB2312" w:hAnsi="楷体_GB2312" w:cs="楷体_GB2312" w:hint="eastAsia"/>
          <w:bCs/>
          <w:sz w:val="28"/>
          <w:szCs w:val="28"/>
        </w:rPr>
        <w:t xml:space="preserve">4-12  </w:t>
      </w:r>
      <w:bookmarkStart w:id="36" w:name="_Toc499539782"/>
      <w:r>
        <w:rPr>
          <w:rFonts w:ascii="楷体_GB2312" w:eastAsia="楷体_GB2312" w:hAnsi="楷体_GB2312" w:cs="楷体_GB2312" w:hint="eastAsia"/>
          <w:bCs/>
          <w:sz w:val="28"/>
          <w:szCs w:val="28"/>
        </w:rPr>
        <w:t>2017</w:t>
      </w:r>
      <w:r>
        <w:rPr>
          <w:rFonts w:ascii="楷体_GB2312" w:eastAsia="楷体_GB2312" w:hAnsi="楷体_GB2312" w:cs="楷体_GB2312" w:hint="eastAsia"/>
          <w:bCs/>
          <w:sz w:val="28"/>
          <w:szCs w:val="28"/>
        </w:rPr>
        <w:t>届毕业生认为母校创新创业教育教学</w:t>
      </w:r>
    </w:p>
    <w:p w:rsidR="00000000" w:rsidRDefault="009A1129">
      <w:pPr>
        <w:pStyle w:val="a8"/>
        <w:spacing w:line="360" w:lineRule="auto"/>
        <w:rPr>
          <w:rFonts w:eastAsia="宋体" w:cs="宋体"/>
        </w:rPr>
      </w:pPr>
      <w:r>
        <w:rPr>
          <w:rFonts w:ascii="楷体_GB2312" w:eastAsia="楷体_GB2312" w:hAnsi="楷体_GB2312" w:cs="楷体_GB2312" w:hint="eastAsia"/>
          <w:bCs/>
          <w:sz w:val="28"/>
          <w:szCs w:val="28"/>
        </w:rPr>
        <w:t>需要改进的地方（多选）</w:t>
      </w:r>
      <w:bookmarkEnd w:id="36"/>
    </w:p>
    <w:p w:rsidR="00000000" w:rsidRDefault="009A1129">
      <w:pPr>
        <w:pStyle w:val="a8"/>
        <w:spacing w:line="360" w:lineRule="auto"/>
        <w:ind w:left="0"/>
        <w:rPr>
          <w:rFonts w:ascii="楷体_GB2312" w:eastAsia="楷体_GB2312" w:hAnsi="楷体_GB2312" w:cs="楷体_GB2312" w:hint="eastAsia"/>
          <w:bCs/>
          <w:sz w:val="28"/>
          <w:szCs w:val="28"/>
        </w:rPr>
      </w:pPr>
    </w:p>
    <w:p w:rsidR="00000000" w:rsidRDefault="009A1129">
      <w:pPr>
        <w:rPr>
          <w:rFonts w:ascii="Calibri" w:hAnsi="Calibri" w:hint="eastAsia"/>
        </w:rPr>
      </w:pPr>
    </w:p>
    <w:p w:rsidR="00000000" w:rsidRDefault="009A1129">
      <w:pPr>
        <w:rPr>
          <w:rFonts w:ascii="楷体_GB2312" w:eastAsia="楷体_GB2312" w:hAnsi="楷体_GB2312" w:cs="楷体_GB2312" w:hint="eastAsia"/>
          <w:b/>
          <w:bCs/>
          <w:sz w:val="28"/>
          <w:szCs w:val="28"/>
        </w:rPr>
      </w:pPr>
    </w:p>
    <w:p w:rsidR="00000000" w:rsidRDefault="009A1129">
      <w:pPr>
        <w:rPr>
          <w:rFonts w:ascii="楷体_GB2312" w:eastAsia="楷体_GB2312" w:hAnsi="楷体_GB2312" w:cs="楷体_GB2312" w:hint="eastAsia"/>
          <w:b/>
          <w:bCs/>
          <w:sz w:val="28"/>
          <w:szCs w:val="28"/>
        </w:rPr>
      </w:pPr>
    </w:p>
    <w:p w:rsidR="00000000" w:rsidRDefault="009A1129">
      <w:pPr>
        <w:rPr>
          <w:rFonts w:ascii="楷体_GB2312" w:eastAsia="楷体_GB2312" w:hAnsi="楷体_GB2312" w:cs="楷体_GB2312" w:hint="eastAsia"/>
          <w:b/>
          <w:bCs/>
          <w:sz w:val="28"/>
          <w:szCs w:val="28"/>
        </w:rPr>
      </w:pPr>
    </w:p>
    <w:p w:rsidR="00000000" w:rsidRDefault="009A1129">
      <w:pPr>
        <w:rPr>
          <w:rFonts w:ascii="楷体_GB2312" w:eastAsia="楷体_GB2312" w:hAnsi="楷体_GB2312" w:cs="楷体_GB2312" w:hint="eastAsia"/>
          <w:b/>
          <w:bCs/>
          <w:sz w:val="28"/>
          <w:szCs w:val="28"/>
        </w:rPr>
      </w:pPr>
    </w:p>
    <w:p w:rsidR="00000000" w:rsidRDefault="009A1129">
      <w:pPr>
        <w:rPr>
          <w:rFonts w:ascii="楷体_GB2312" w:eastAsia="楷体_GB2312" w:hAnsi="楷体_GB2312" w:cs="楷体_GB2312" w:hint="eastAsia"/>
          <w:b/>
          <w:bCs/>
          <w:sz w:val="28"/>
          <w:szCs w:val="28"/>
        </w:rPr>
      </w:pPr>
    </w:p>
    <w:p w:rsidR="00000000" w:rsidRDefault="009A1129">
      <w:pPr>
        <w:rPr>
          <w:rFonts w:ascii="楷体_GB2312" w:eastAsia="楷体_GB2312" w:hAnsi="楷体_GB2312" w:cs="楷体_GB2312" w:hint="eastAsia"/>
          <w:b/>
          <w:bCs/>
          <w:sz w:val="28"/>
          <w:szCs w:val="28"/>
        </w:rPr>
      </w:pPr>
    </w:p>
    <w:p w:rsidR="00000000" w:rsidRDefault="009A1129">
      <w:pPr>
        <w:rPr>
          <w:rFonts w:ascii="楷体_GB2312" w:eastAsia="楷体_GB2312" w:hAnsi="楷体_GB2312" w:cs="楷体_GB2312" w:hint="eastAsia"/>
          <w:b/>
          <w:bCs/>
          <w:sz w:val="28"/>
          <w:szCs w:val="28"/>
        </w:rPr>
      </w:pPr>
    </w:p>
    <w:p w:rsidR="00000000" w:rsidRDefault="009A1129">
      <w:pPr>
        <w:rPr>
          <w:rFonts w:ascii="楷体_GB2312" w:eastAsia="楷体_GB2312" w:hAnsi="楷体_GB2312" w:cs="楷体_GB2312" w:hint="eastAsia"/>
          <w:b/>
          <w:bCs/>
          <w:sz w:val="28"/>
          <w:szCs w:val="28"/>
        </w:rPr>
      </w:pPr>
    </w:p>
    <w:p w:rsidR="00000000" w:rsidRDefault="009A1129">
      <w:pPr>
        <w:rPr>
          <w:rFonts w:ascii="楷体_GB2312" w:eastAsia="楷体_GB2312" w:hAnsi="楷体_GB2312" w:cs="楷体_GB2312" w:hint="eastAsia"/>
          <w:b/>
          <w:bCs/>
          <w:sz w:val="28"/>
          <w:szCs w:val="28"/>
        </w:rPr>
      </w:pPr>
    </w:p>
    <w:p w:rsidR="00000000" w:rsidRDefault="009A1129">
      <w:pPr>
        <w:rPr>
          <w:rFonts w:ascii="楷体_GB2312" w:eastAsia="楷体_GB2312" w:hAnsi="楷体_GB2312" w:cs="楷体_GB2312" w:hint="eastAsia"/>
          <w:b/>
          <w:bCs/>
          <w:sz w:val="28"/>
          <w:szCs w:val="28"/>
        </w:rPr>
      </w:pPr>
    </w:p>
    <w:p w:rsidR="00000000" w:rsidRDefault="009A1129">
      <w:pPr>
        <w:spacing w:line="480" w:lineRule="auto"/>
        <w:jc w:val="center"/>
        <w:rPr>
          <w:rFonts w:ascii="楷体_GB2312" w:eastAsia="楷体_GB2312" w:hAnsi="楷体_GB2312" w:cs="楷体_GB2312"/>
          <w:b/>
          <w:bCs/>
          <w:sz w:val="36"/>
          <w:szCs w:val="36"/>
        </w:rPr>
      </w:pPr>
      <w:r>
        <w:rPr>
          <w:rFonts w:ascii="楷体_GB2312" w:eastAsia="楷体_GB2312" w:hAnsi="楷体_GB2312" w:cs="楷体_GB2312" w:hint="eastAsia"/>
          <w:b/>
          <w:bCs/>
          <w:sz w:val="36"/>
          <w:szCs w:val="36"/>
        </w:rPr>
        <w:lastRenderedPageBreak/>
        <w:t>第五部</w:t>
      </w:r>
      <w:r>
        <w:rPr>
          <w:rFonts w:ascii="楷体_GB2312" w:eastAsia="楷体_GB2312" w:hAnsi="楷体_GB2312" w:cs="楷体_GB2312" w:hint="eastAsia"/>
          <w:b/>
          <w:bCs/>
          <w:sz w:val="36"/>
          <w:szCs w:val="36"/>
        </w:rPr>
        <w:t>分</w:t>
      </w:r>
      <w:r>
        <w:rPr>
          <w:rFonts w:ascii="楷体_GB2312" w:eastAsia="楷体_GB2312" w:hAnsi="楷体_GB2312" w:cs="楷体_GB2312" w:hint="eastAsia"/>
          <w:b/>
          <w:bCs/>
          <w:sz w:val="36"/>
          <w:szCs w:val="36"/>
        </w:rPr>
        <w:t xml:space="preserve">  </w:t>
      </w:r>
      <w:r>
        <w:rPr>
          <w:rFonts w:ascii="楷体_GB2312" w:eastAsia="楷体_GB2312" w:hAnsi="楷体_GB2312" w:cs="楷体_GB2312" w:hint="eastAsia"/>
          <w:b/>
          <w:bCs/>
          <w:sz w:val="36"/>
          <w:szCs w:val="36"/>
        </w:rPr>
        <w:t>今后就业工作的几点思考</w:t>
      </w:r>
    </w:p>
    <w:p w:rsidR="00000000" w:rsidRDefault="009A1129">
      <w:pPr>
        <w:pStyle w:val="3"/>
        <w:spacing w:line="480" w:lineRule="auto"/>
        <w:rPr>
          <w:rFonts w:ascii="楷体_GB2312" w:eastAsia="楷体_GB2312" w:hAnsi="楷体_GB2312" w:cs="楷体_GB2312" w:hint="eastAsia"/>
          <w:sz w:val="32"/>
        </w:rPr>
      </w:pPr>
      <w:r>
        <w:rPr>
          <w:rFonts w:ascii="楷体_GB2312" w:eastAsia="楷体_GB2312" w:hAnsi="楷体_GB2312" w:cs="楷体_GB2312" w:hint="eastAsia"/>
          <w:sz w:val="32"/>
        </w:rPr>
        <w:t>一、更好推动人才培养，主动适应经济社会发展需要</w:t>
      </w:r>
    </w:p>
    <w:p w:rsidR="00000000" w:rsidRDefault="009A1129">
      <w:pPr>
        <w:autoSpaceDE w:val="0"/>
        <w:autoSpaceDN w:val="0"/>
        <w:adjustRightInd w:val="0"/>
        <w:spacing w:line="480" w:lineRule="auto"/>
        <w:ind w:firstLineChars="200" w:firstLine="560"/>
        <w:jc w:val="left"/>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要主动对接地区、行业、产业需求，动态调整课程设置，强化实践教学，加强实习实训，完善产学研用结合的协同育人模式，更好培养高素质应用型人才。要通过高质量组织开展毕业生就业质量年度调查，确保所有专业都有完整的统计和分析数据，确保学院编制、发布的毕业生就业质量年度报告全面反映全院和各学部毕业生就业创业状况，切实推进和完善就业与招生、人才培养、专业调整的联动机制。要分专业建立和完善用人单位和毕业生就业状况反馈机制，认真统计、分析用人单位和毕业生对学院人才培养的意见和建议，增强人才培养和社会需要的契合度。</w:t>
      </w:r>
    </w:p>
    <w:p w:rsidR="00000000" w:rsidRDefault="009A1129">
      <w:pPr>
        <w:autoSpaceDE w:val="0"/>
        <w:autoSpaceDN w:val="0"/>
        <w:adjustRightInd w:val="0"/>
        <w:spacing w:line="480" w:lineRule="auto"/>
        <w:ind w:firstLineChars="200" w:firstLine="560"/>
        <w:jc w:val="left"/>
        <w:rPr>
          <w:rFonts w:ascii="楷体_GB2312" w:eastAsia="楷体_GB2312" w:hAnsi="楷体_GB2312" w:cs="楷体_GB2312" w:hint="eastAsia"/>
          <w:kern w:val="0"/>
          <w:sz w:val="28"/>
          <w:szCs w:val="28"/>
        </w:rPr>
      </w:pPr>
    </w:p>
    <w:p w:rsidR="00000000" w:rsidRDefault="009A1129">
      <w:pPr>
        <w:pStyle w:val="3"/>
        <w:spacing w:line="480" w:lineRule="auto"/>
        <w:rPr>
          <w:rFonts w:ascii="楷体_GB2312" w:eastAsia="楷体_GB2312" w:hAnsi="楷体_GB2312" w:cs="楷体_GB2312" w:hint="eastAsia"/>
          <w:sz w:val="32"/>
        </w:rPr>
      </w:pPr>
      <w:r>
        <w:rPr>
          <w:rFonts w:ascii="楷体_GB2312" w:eastAsia="楷体_GB2312" w:hAnsi="楷体_GB2312" w:cs="楷体_GB2312" w:hint="eastAsia"/>
          <w:sz w:val="32"/>
        </w:rPr>
        <w:t>二、深入推</w:t>
      </w:r>
      <w:r>
        <w:rPr>
          <w:rFonts w:ascii="楷体_GB2312" w:eastAsia="楷体_GB2312" w:hAnsi="楷体_GB2312" w:cs="楷体_GB2312" w:hint="eastAsia"/>
          <w:sz w:val="32"/>
        </w:rPr>
        <w:t>进大学生创新创业教育和自主创业工作</w:t>
      </w:r>
    </w:p>
    <w:p w:rsidR="00000000" w:rsidRDefault="009A1129">
      <w:pPr>
        <w:autoSpaceDE w:val="0"/>
        <w:autoSpaceDN w:val="0"/>
        <w:adjustRightInd w:val="0"/>
        <w:spacing w:line="480" w:lineRule="auto"/>
        <w:ind w:firstLineChars="200" w:firstLine="560"/>
        <w:jc w:val="left"/>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要坚持以创新创业教育促进专业教育改革，通过专业教育改革发展推动创新创业教育实施，在培养方案、课程体系、教学方法、实习、实践等教学关键环节改革上取得进展，切实将创新精神、创业意识和创新创业能力的培养融入到人才培养全过程、各环节。要积极与社会合作，建设大学生创新创业服务平台，不断完善大学生创业服务机制，根据大学生创业的不同阶段和不同需求，为其提供政策解读、项目对接和培训实训等指导服务；不断创新服务内容和方式，为自主创业的学生提供项目论证、公司注册、财务管理、法律咨询、专利代理</w:t>
      </w:r>
      <w:r>
        <w:rPr>
          <w:rFonts w:ascii="楷体_GB2312" w:eastAsia="楷体_GB2312" w:hAnsi="楷体_GB2312" w:cs="楷体_GB2312" w:hint="eastAsia"/>
          <w:kern w:val="0"/>
          <w:sz w:val="28"/>
          <w:szCs w:val="28"/>
        </w:rPr>
        <w:t>、物业管理等一条龙服务。</w:t>
      </w:r>
    </w:p>
    <w:p w:rsidR="00000000" w:rsidRDefault="009A1129">
      <w:pPr>
        <w:pStyle w:val="3"/>
        <w:spacing w:line="480" w:lineRule="auto"/>
        <w:rPr>
          <w:rFonts w:ascii="楷体_GB2312" w:eastAsia="楷体_GB2312" w:hAnsi="楷体_GB2312" w:cs="楷体_GB2312" w:hint="eastAsia"/>
          <w:sz w:val="32"/>
        </w:rPr>
      </w:pPr>
      <w:r>
        <w:rPr>
          <w:rFonts w:ascii="楷体_GB2312" w:eastAsia="楷体_GB2312" w:hAnsi="楷体_GB2312" w:cs="楷体_GB2312" w:hint="eastAsia"/>
          <w:sz w:val="32"/>
        </w:rPr>
        <w:lastRenderedPageBreak/>
        <w:t>三、积极拓宽就业创业渠道</w:t>
      </w:r>
      <w:bookmarkStart w:id="37" w:name="zhengwen"/>
    </w:p>
    <w:p w:rsidR="00000000" w:rsidRDefault="009A1129">
      <w:pPr>
        <w:autoSpaceDE w:val="0"/>
        <w:autoSpaceDN w:val="0"/>
        <w:adjustRightInd w:val="0"/>
        <w:spacing w:line="480" w:lineRule="auto"/>
        <w:ind w:firstLineChars="200" w:firstLine="560"/>
        <w:jc w:val="left"/>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要坚持基层就业大方向，服务国家发展大战略，注重面向基层和重点领域输送毕业生。要大力实施基层就业专门项目，进一步做好“村官计划”、“西部计划”、“苏北计划”、“三支一扶”等基层项目的宣传和组织工作。要结合各地“十三五”发展规划，围绕“一带一路”、“长江经济带”等重大发展战略，主动对接地方人才需求。要抓住实施“中国制造</w:t>
      </w:r>
      <w:r>
        <w:rPr>
          <w:rFonts w:ascii="楷体_GB2312" w:eastAsia="楷体_GB2312" w:hAnsi="楷体_GB2312" w:cs="楷体_GB2312" w:hint="eastAsia"/>
          <w:kern w:val="0"/>
          <w:sz w:val="28"/>
          <w:szCs w:val="28"/>
        </w:rPr>
        <w:t>2025</w:t>
      </w:r>
      <w:r>
        <w:rPr>
          <w:rFonts w:ascii="楷体_GB2312" w:eastAsia="楷体_GB2312" w:hAnsi="楷体_GB2312" w:cs="楷体_GB2312" w:hint="eastAsia"/>
          <w:kern w:val="0"/>
          <w:sz w:val="28"/>
          <w:szCs w:val="28"/>
        </w:rPr>
        <w:t>”、“互联网</w:t>
      </w:r>
      <w:r>
        <w:rPr>
          <w:rFonts w:ascii="楷体_GB2312" w:eastAsia="楷体_GB2312" w:hAnsi="楷体_GB2312" w:cs="楷体_GB2312" w:hint="eastAsia"/>
          <w:kern w:val="0"/>
          <w:sz w:val="28"/>
          <w:szCs w:val="28"/>
        </w:rPr>
        <w:t>+</w:t>
      </w:r>
      <w:r>
        <w:rPr>
          <w:rFonts w:ascii="楷体_GB2312" w:eastAsia="楷体_GB2312" w:hAnsi="楷体_GB2312" w:cs="楷体_GB2312" w:hint="eastAsia"/>
          <w:kern w:val="0"/>
          <w:sz w:val="28"/>
          <w:szCs w:val="28"/>
        </w:rPr>
        <w:t>”行动计划等契机，引导毕业生到先进制造业、现代服务业和现代农业等领域就业创业。要积极鼓励大学生应征入伍，加大对大学新生、在</w:t>
      </w:r>
      <w:r>
        <w:rPr>
          <w:rFonts w:ascii="楷体_GB2312" w:eastAsia="楷体_GB2312" w:hAnsi="楷体_GB2312" w:cs="楷体_GB2312" w:hint="eastAsia"/>
          <w:kern w:val="0"/>
          <w:sz w:val="28"/>
          <w:szCs w:val="28"/>
        </w:rPr>
        <w:t>校生、毕业生等不同群体的宣传动员，努力实现征兵数量和质量进一步提高。</w:t>
      </w:r>
      <w:bookmarkEnd w:id="37"/>
    </w:p>
    <w:p w:rsidR="00000000" w:rsidRDefault="009A1129">
      <w:pPr>
        <w:autoSpaceDE w:val="0"/>
        <w:autoSpaceDN w:val="0"/>
        <w:adjustRightInd w:val="0"/>
        <w:spacing w:line="480" w:lineRule="auto"/>
        <w:ind w:firstLineChars="200" w:firstLine="560"/>
        <w:jc w:val="left"/>
        <w:rPr>
          <w:rFonts w:ascii="楷体_GB2312" w:eastAsia="楷体_GB2312" w:hAnsi="楷体_GB2312" w:cs="楷体_GB2312" w:hint="eastAsia"/>
          <w:kern w:val="0"/>
          <w:sz w:val="28"/>
          <w:szCs w:val="28"/>
        </w:rPr>
      </w:pPr>
    </w:p>
    <w:p w:rsidR="00000000" w:rsidRDefault="009A1129">
      <w:pPr>
        <w:pStyle w:val="3"/>
        <w:spacing w:line="480" w:lineRule="auto"/>
        <w:rPr>
          <w:rFonts w:ascii="楷体_GB2312" w:eastAsia="楷体_GB2312" w:hAnsi="楷体_GB2312" w:cs="楷体_GB2312" w:hint="eastAsia"/>
          <w:sz w:val="32"/>
        </w:rPr>
      </w:pPr>
      <w:r>
        <w:rPr>
          <w:rFonts w:ascii="楷体_GB2312" w:eastAsia="楷体_GB2312" w:hAnsi="楷体_GB2312" w:cs="楷体_GB2312" w:hint="eastAsia"/>
          <w:sz w:val="32"/>
        </w:rPr>
        <w:t>四、进一步提高就业创业指导与服务水平</w:t>
      </w:r>
    </w:p>
    <w:p w:rsidR="009A1129" w:rsidRDefault="009A1129">
      <w:pPr>
        <w:autoSpaceDE w:val="0"/>
        <w:autoSpaceDN w:val="0"/>
        <w:adjustRightInd w:val="0"/>
        <w:spacing w:line="480" w:lineRule="auto"/>
        <w:ind w:firstLineChars="200" w:firstLine="560"/>
        <w:jc w:val="left"/>
        <w:rPr>
          <w:rFonts w:ascii="楷体_GB2312" w:eastAsia="楷体_GB2312" w:hAnsi="楷体_GB2312" w:cs="楷体_GB2312" w:hint="eastAsia"/>
          <w:kern w:val="0"/>
          <w:sz w:val="28"/>
          <w:szCs w:val="28"/>
        </w:rPr>
      </w:pPr>
      <w:r>
        <w:rPr>
          <w:rFonts w:ascii="楷体_GB2312" w:eastAsia="楷体_GB2312" w:hAnsi="楷体_GB2312" w:cs="楷体_GB2312" w:hint="eastAsia"/>
          <w:kern w:val="0"/>
          <w:sz w:val="28"/>
          <w:szCs w:val="28"/>
        </w:rPr>
        <w:t>要利用智慧校园建设契机，依托大学工网络平台，不断深化“互联网</w:t>
      </w:r>
      <w:r>
        <w:rPr>
          <w:rFonts w:ascii="楷体_GB2312" w:eastAsia="楷体_GB2312" w:hAnsi="楷体_GB2312" w:cs="楷体_GB2312" w:hint="eastAsia"/>
          <w:kern w:val="0"/>
          <w:sz w:val="28"/>
          <w:szCs w:val="28"/>
        </w:rPr>
        <w:t>+</w:t>
      </w:r>
      <w:r>
        <w:rPr>
          <w:rFonts w:ascii="楷体_GB2312" w:eastAsia="楷体_GB2312" w:hAnsi="楷体_GB2312" w:cs="楷体_GB2312" w:hint="eastAsia"/>
          <w:kern w:val="0"/>
          <w:sz w:val="28"/>
          <w:szCs w:val="28"/>
        </w:rPr>
        <w:t>就业创业”模式创新，努力实现就业创业工作的全程化、个性化、精准化服务。要充分发挥江苏省“</w:t>
      </w:r>
      <w:r>
        <w:rPr>
          <w:rFonts w:ascii="楷体_GB2312" w:eastAsia="楷体_GB2312" w:hAnsi="楷体_GB2312" w:cs="楷体_GB2312" w:hint="eastAsia"/>
          <w:kern w:val="0"/>
          <w:sz w:val="28"/>
          <w:szCs w:val="28"/>
        </w:rPr>
        <w:t>91job</w:t>
      </w:r>
      <w:r>
        <w:rPr>
          <w:rFonts w:ascii="楷体_GB2312" w:eastAsia="楷体_GB2312" w:hAnsi="楷体_GB2312" w:cs="楷体_GB2312" w:hint="eastAsia"/>
          <w:kern w:val="0"/>
          <w:sz w:val="28"/>
          <w:szCs w:val="28"/>
        </w:rPr>
        <w:t>智慧就业平台”作用，进一步匹配毕业生求职和用人单位招聘数据，实现信息对接；重点跟踪和关注贫困家庭毕业生、残疾毕业生、少数民族毕业生和零就业家庭毕业生等，做到精准帮扶。加强与地方就业主管部门、用人单位及行业协会的合作，积极开拓就业岗位，扩大招聘</w:t>
      </w:r>
      <w:r>
        <w:rPr>
          <w:rFonts w:ascii="楷体_GB2312" w:eastAsia="楷体_GB2312" w:hAnsi="楷体_GB2312" w:cs="楷体_GB2312" w:hint="eastAsia"/>
          <w:kern w:val="0"/>
          <w:sz w:val="28"/>
          <w:szCs w:val="28"/>
        </w:rPr>
        <w:t>活动的影响，继续探索和完善网络视频招聘会模式。要严格执行工作规范，切实规范就业管理，认真审核用人单位资质和招聘信息的真实性、有效性，维护毕业生合法权益。</w:t>
      </w:r>
    </w:p>
    <w:sectPr w:rsidR="009A1129">
      <w:headerReference w:type="default" r:id="rId52"/>
      <w:footerReference w:type="default" r:id="rId53"/>
      <w:headerReference w:type="first" r:id="rId54"/>
      <w:footerReference w:type="first" r:id="rId55"/>
      <w:pgSz w:w="11906" w:h="16838"/>
      <w:pgMar w:top="1440" w:right="1797" w:bottom="1440" w:left="1797" w:header="851" w:footer="992" w:gutter="0"/>
      <w:pgNumType w:start="1"/>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1129" w:rsidRDefault="009A1129">
      <w:r>
        <w:separator/>
      </w:r>
    </w:p>
  </w:endnote>
  <w:endnote w:type="continuationSeparator" w:id="1">
    <w:p w:rsidR="009A1129" w:rsidRDefault="009A11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楷体_GB2312">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A1129">
    <w:pPr>
      <w:pStyle w:val="a6"/>
    </w:pPr>
    <w:r>
      <w:pict>
        <v:shapetype id="_x0000_t202" coordsize="21600,21600" o:spt="202" path="m,l,21600r21600,l21600,xe">
          <v:stroke joinstyle="miter"/>
          <v:path gradientshapeok="t" o:connecttype="rect"/>
        </v:shapetype>
        <v:shape id="文本框 18" o:spid="_x0000_s2066" type="#_x0000_t202" style="position:absolute;margin-left:0;margin-top:0;width:2in;height:2in;z-index:251657216;mso-wrap-style:none;mso-position-horizontal:center;mso-position-horizontal-relative:margin" filled="f" stroked="f" strokeweight="1.25pt">
          <v:fill o:detectmouseclick="t"/>
          <v:textbox style="mso-fit-shape-to-text:t" inset="0,0,0,0">
            <w:txbxContent>
              <w:p w:rsidR="00000000" w:rsidRDefault="009A112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6666D3" w:rsidRPr="006666D3">
                  <w:rPr>
                    <w:noProof/>
                    <w:lang w:val="en-US" w:eastAsia="zh-CN"/>
                  </w:rPr>
                  <w:t>32</w:t>
                </w:r>
                <w:r>
                  <w:rPr>
                    <w:rFonts w:hint="eastAsia"/>
                    <w:sz w:val="18"/>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A1129">
    <w:pPr>
      <w:pStyle w:val="a6"/>
      <w:jc w:val="center"/>
    </w:pPr>
    <w:r>
      <w:pict>
        <v:shapetype id="_x0000_t202" coordsize="21600,21600" o:spt="202" path="m,l,21600r21600,l21600,xe">
          <v:stroke joinstyle="miter"/>
          <v:path gradientshapeok="t" o:connecttype="rect"/>
        </v:shapetype>
        <v:shape id="文本框 19" o:spid="_x0000_s2067" type="#_x0000_t202" style="position:absolute;left:0;text-align:left;margin-left:0;margin-top:0;width:2in;height:2in;z-index:251658240;mso-wrap-style:none;mso-position-horizontal:center;mso-position-horizontal-relative:margin" filled="f" stroked="f" strokeweight="1.25pt">
          <v:fill o:detectmouseclick="t"/>
          <v:textbox style="mso-fit-shape-to-text:t" inset="0,0,0,0">
            <w:txbxContent>
              <w:p w:rsidR="00000000" w:rsidRDefault="009A1129">
                <w:pPr>
                  <w:snapToGrid w:val="0"/>
                  <w:rPr>
                    <w:rFonts w:hint="eastAsia"/>
                    <w:sz w:val="18"/>
                  </w:rPr>
                </w:pPr>
                <w:r>
                  <w:rPr>
                    <w:rFonts w:hint="eastAsia"/>
                    <w:sz w:val="18"/>
                  </w:rPr>
                  <w:fldChar w:fldCharType="begin"/>
                </w:r>
                <w:r>
                  <w:rPr>
                    <w:rFonts w:hint="eastAsia"/>
                    <w:sz w:val="18"/>
                  </w:rPr>
                  <w:instrText xml:space="preserve"> PAGE  \* MERG</w:instrText>
                </w:r>
                <w:r>
                  <w:rPr>
                    <w:rFonts w:hint="eastAsia"/>
                    <w:sz w:val="18"/>
                  </w:rPr>
                  <w:instrText xml:space="preserve">EFORMAT </w:instrText>
                </w:r>
                <w:r>
                  <w:rPr>
                    <w:rFonts w:hint="eastAsia"/>
                    <w:sz w:val="18"/>
                  </w:rPr>
                  <w:fldChar w:fldCharType="separate"/>
                </w:r>
                <w:r w:rsidR="006666D3" w:rsidRPr="006666D3">
                  <w:rPr>
                    <w:noProof/>
                    <w:lang w:val="en-US" w:eastAsia="zh-CN"/>
                  </w:rPr>
                  <w:t>1</w:t>
                </w:r>
                <w:r>
                  <w:rPr>
                    <w:rFonts w:hint="eastAsia"/>
                    <w:sz w:val="18"/>
                  </w:rPr>
                  <w:fldChar w:fldCharType="end"/>
                </w:r>
              </w:p>
            </w:txbxContent>
          </v:textbox>
          <w10:wrap anchorx="margin"/>
        </v:shape>
      </w:pict>
    </w:r>
  </w:p>
  <w:p w:rsidR="00000000" w:rsidRDefault="009A1129">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1129" w:rsidRDefault="009A1129">
      <w:r>
        <w:separator/>
      </w:r>
    </w:p>
  </w:footnote>
  <w:footnote w:type="continuationSeparator" w:id="1">
    <w:p w:rsidR="009A1129" w:rsidRDefault="009A11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6666D3">
    <w:pPr>
      <w:pStyle w:val="a7"/>
      <w:tabs>
        <w:tab w:val="clear" w:pos="8306"/>
      </w:tabs>
      <w:jc w:val="both"/>
    </w:pPr>
    <w:r>
      <w:rPr>
        <w:noProof/>
      </w:rPr>
      <w:drawing>
        <wp:inline distT="0" distB="0" distL="0" distR="0">
          <wp:extent cx="200025" cy="200025"/>
          <wp:effectExtent l="19050" t="0" r="9525" b="0"/>
          <wp:docPr id="5" name="图片 27" descr="校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校徽1"/>
                  <pic:cNvPicPr>
                    <a:picLocks noChangeAspect="1" noChangeArrowheads="1"/>
                  </pic:cNvPicPr>
                </pic:nvPicPr>
                <pic:blipFill>
                  <a:blip r:embed="rId1"/>
                  <a:srcRect/>
                  <a:stretch>
                    <a:fillRect/>
                  </a:stretch>
                </pic:blipFill>
                <pic:spPr bwMode="auto">
                  <a:xfrm>
                    <a:off x="0" y="0"/>
                    <a:ext cx="200025" cy="200025"/>
                  </a:xfrm>
                  <a:prstGeom prst="rect">
                    <a:avLst/>
                  </a:prstGeom>
                  <a:noFill/>
                  <a:ln w="9525" cmpd="sng">
                    <a:noFill/>
                    <a:miter lim="800000"/>
                    <a:headEnd/>
                    <a:tailEnd/>
                  </a:ln>
                </pic:spPr>
              </pic:pic>
            </a:graphicData>
          </a:graphic>
        </wp:inline>
      </w:drawing>
    </w:r>
    <w:r>
      <w:rPr>
        <w:noProof/>
      </w:rPr>
      <w:drawing>
        <wp:inline distT="0" distB="0" distL="0" distR="0">
          <wp:extent cx="1200150" cy="180975"/>
          <wp:effectExtent l="19050" t="0" r="0" b="0"/>
          <wp:docPr id="6" name="图片 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2"/>
                  <pic:cNvPicPr>
                    <a:picLocks noChangeAspect="1" noChangeArrowheads="1"/>
                  </pic:cNvPicPr>
                </pic:nvPicPr>
                <pic:blipFill>
                  <a:blip r:embed="rId2"/>
                  <a:srcRect/>
                  <a:stretch>
                    <a:fillRect/>
                  </a:stretch>
                </pic:blipFill>
                <pic:spPr bwMode="auto">
                  <a:xfrm>
                    <a:off x="0" y="0"/>
                    <a:ext cx="1200150" cy="180975"/>
                  </a:xfrm>
                  <a:prstGeom prst="rect">
                    <a:avLst/>
                  </a:prstGeom>
                  <a:noFill/>
                  <a:ln w="9525" cmpd="sng">
                    <a:noFill/>
                    <a:miter lim="800000"/>
                    <a:headEnd/>
                    <a:tailEnd/>
                  </a:ln>
                </pic:spPr>
              </pic:pic>
            </a:graphicData>
          </a:graphic>
        </wp:inline>
      </w:drawing>
    </w:r>
    <w:r w:rsidR="009A1129">
      <w:rPr>
        <w:rFonts w:hint="eastAsia"/>
      </w:rPr>
      <w:tab/>
    </w:r>
    <w:r w:rsidR="009A1129">
      <w:rPr>
        <w:rFonts w:hint="eastAsia"/>
      </w:rPr>
      <w:t xml:space="preserve">                                           201</w:t>
    </w:r>
    <w:r w:rsidR="009A1129">
      <w:rPr>
        <w:rFonts w:hint="eastAsia"/>
      </w:rPr>
      <w:t>7</w:t>
    </w:r>
    <w:r w:rsidR="009A1129">
      <w:rPr>
        <w:rFonts w:hint="eastAsia"/>
      </w:rPr>
      <w:t>届毕业生就业质量报告</w:t>
    </w:r>
    <w:r w:rsidR="009A1129">
      <w:t xml:space="preserve"> </w:t>
    </w:r>
  </w:p>
  <w:p w:rsidR="00000000" w:rsidRDefault="009A1129"/>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6666D3">
    <w:pPr>
      <w:pStyle w:val="a7"/>
    </w:pPr>
    <w:r>
      <w:rPr>
        <w:noProof/>
      </w:rPr>
      <w:drawing>
        <wp:inline distT="0" distB="0" distL="0" distR="0">
          <wp:extent cx="200025" cy="200025"/>
          <wp:effectExtent l="19050" t="0" r="9525" b="0"/>
          <wp:docPr id="2" name="Picture 27" descr="校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校徽1"/>
                  <pic:cNvPicPr>
                    <a:picLocks noChangeAspect="1" noChangeArrowheads="1"/>
                  </pic:cNvPicPr>
                </pic:nvPicPr>
                <pic:blipFill>
                  <a:blip r:embed="rId1"/>
                  <a:srcRect/>
                  <a:stretch>
                    <a:fillRect/>
                  </a:stretch>
                </pic:blipFill>
                <pic:spPr bwMode="auto">
                  <a:xfrm>
                    <a:off x="0" y="0"/>
                    <a:ext cx="200025" cy="200025"/>
                  </a:xfrm>
                  <a:prstGeom prst="rect">
                    <a:avLst/>
                  </a:prstGeom>
                  <a:noFill/>
                  <a:ln w="9525" cmpd="sng">
                    <a:noFill/>
                    <a:miter lim="800000"/>
                    <a:headEnd/>
                    <a:tailEnd/>
                  </a:ln>
                </pic:spPr>
              </pic:pic>
            </a:graphicData>
          </a:graphic>
        </wp:inline>
      </w:drawing>
    </w:r>
    <w:r>
      <w:rPr>
        <w:noProof/>
      </w:rPr>
      <w:drawing>
        <wp:inline distT="0" distB="0" distL="0" distR="0">
          <wp:extent cx="1200150" cy="180975"/>
          <wp:effectExtent l="19050" t="0" r="0" b="0"/>
          <wp:docPr id="3" name="Picture 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
                  <pic:cNvPicPr>
                    <a:picLocks noChangeAspect="1" noChangeArrowheads="1"/>
                  </pic:cNvPicPr>
                </pic:nvPicPr>
                <pic:blipFill>
                  <a:blip r:embed="rId2"/>
                  <a:srcRect/>
                  <a:stretch>
                    <a:fillRect/>
                  </a:stretch>
                </pic:blipFill>
                <pic:spPr bwMode="auto">
                  <a:xfrm>
                    <a:off x="0" y="0"/>
                    <a:ext cx="1200150" cy="180975"/>
                  </a:xfrm>
                  <a:prstGeom prst="rect">
                    <a:avLst/>
                  </a:prstGeom>
                  <a:noFill/>
                  <a:ln w="9525" cmpd="sng">
                    <a:noFill/>
                    <a:miter lim="800000"/>
                    <a:headEnd/>
                    <a:tailEnd/>
                  </a:ln>
                </pic:spPr>
              </pic:pic>
            </a:graphicData>
          </a:graphic>
        </wp:inline>
      </w:drawing>
    </w:r>
    <w:r w:rsidR="009A1129">
      <w:rPr>
        <w:rFonts w:hint="eastAsia"/>
      </w:rPr>
      <w:tab/>
    </w:r>
    <w:r w:rsidR="009A1129">
      <w:rPr>
        <w:rFonts w:hint="eastAsia"/>
      </w:rPr>
      <w:t xml:space="preserve">                                          201</w:t>
    </w:r>
    <w:r w:rsidR="009A1129">
      <w:rPr>
        <w:rFonts w:hint="eastAsia"/>
      </w:rPr>
      <w:t>7</w:t>
    </w:r>
    <w:r w:rsidR="009A1129">
      <w:rPr>
        <w:rFonts w:hint="eastAsia"/>
      </w:rPr>
      <w:t>届毕业生就业质量报告</w:t>
    </w:r>
    <w:r w:rsidR="009A1129">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40BA3"/>
    <w:multiLevelType w:val="multilevel"/>
    <w:tmpl w:val="07C40BA3"/>
    <w:lvl w:ilvl="0">
      <w:start w:val="1"/>
      <w:numFmt w:val="japaneseCounting"/>
      <w:lvlText w:val="（%1）"/>
      <w:lvlJc w:val="left"/>
      <w:pPr>
        <w:ind w:left="1305" w:hanging="885"/>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nsid w:val="13874CC2"/>
    <w:multiLevelType w:val="multilevel"/>
    <w:tmpl w:val="13874CC2"/>
    <w:lvl w:ilvl="0">
      <w:start w:val="1"/>
      <w:numFmt w:val="japaneseCounting"/>
      <w:lvlText w:val="（%1）"/>
      <w:lvlJc w:val="left"/>
      <w:pPr>
        <w:ind w:left="1080" w:hanging="108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2">
    <w:nsid w:val="1E9903CA"/>
    <w:multiLevelType w:val="multilevel"/>
    <w:tmpl w:val="1E9903CA"/>
    <w:lvl w:ilvl="0">
      <w:start w:val="1"/>
      <w:numFmt w:val="japaneseCounting"/>
      <w:lvlText w:val="（%1）"/>
      <w:lvlJc w:val="left"/>
      <w:pPr>
        <w:ind w:left="1305" w:hanging="885"/>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nsid w:val="2868488F"/>
    <w:multiLevelType w:val="multilevel"/>
    <w:tmpl w:val="2868488F"/>
    <w:lvl w:ilvl="0">
      <w:start w:val="1"/>
      <w:numFmt w:val="japaneseCounting"/>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54AEA450"/>
    <w:multiLevelType w:val="singleLevel"/>
    <w:tmpl w:val="54AEA450"/>
    <w:lvl w:ilvl="0">
      <w:start w:val="2"/>
      <w:numFmt w:val="chineseCounting"/>
      <w:suff w:val="nothing"/>
      <w:lvlText w:val="（%1）"/>
      <w:lvlJc w:val="left"/>
    </w:lvl>
  </w:abstractNum>
  <w:abstractNum w:abstractNumId="5">
    <w:nsid w:val="54AEB043"/>
    <w:multiLevelType w:val="singleLevel"/>
    <w:tmpl w:val="54AEB043"/>
    <w:lvl w:ilvl="0">
      <w:start w:val="2"/>
      <w:numFmt w:val="chineseCounting"/>
      <w:suff w:val="nothing"/>
      <w:lvlText w:val="（%1）"/>
      <w:lvlJc w:val="left"/>
    </w:lvl>
  </w:abstractNum>
  <w:abstractNum w:abstractNumId="6">
    <w:nsid w:val="5683945D"/>
    <w:multiLevelType w:val="singleLevel"/>
    <w:tmpl w:val="5683945D"/>
    <w:lvl w:ilvl="0">
      <w:start w:val="2"/>
      <w:numFmt w:val="chineseCounting"/>
      <w:suff w:val="nothing"/>
      <w:lvlText w:val="%1、"/>
      <w:lvlJc w:val="left"/>
    </w:lvl>
  </w:abstractNum>
  <w:num w:numId="1">
    <w:abstractNumId w:val="3"/>
  </w:num>
  <w:num w:numId="2">
    <w:abstractNumId w:val="0"/>
  </w:num>
  <w:num w:numId="3">
    <w:abstractNumId w:val="2"/>
  </w:num>
  <w:num w:numId="4">
    <w:abstractNumId w:val="4"/>
  </w:num>
  <w:num w:numId="5">
    <w:abstractNumId w:val="1"/>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420"/>
  <w:drawingGridHorizontalSpacing w:val="105"/>
  <w:drawingGridVerticalSpacing w:val="156"/>
  <w:noPunctuationKerning/>
  <w:characterSpacingControl w:val="compressPunctuation"/>
  <w:doNotValidateAgainstSchema/>
  <w:doNotDemarcateInvalidXml/>
  <w:hdrShapeDefaults>
    <o:shapedefaults v:ext="edit" spidmax="3094" strokecolor="#739cc3">
      <v:fill angle="90" type="gradient">
        <o:fill v:ext="view" type="gradientUnscaled"/>
      </v:fill>
      <v:stroke color="#739cc3" weight="1.25pt"/>
    </o:shapedefaults>
    <o:shapelayout v:ext="edit">
      <o:idmap v:ext="edit" data="2"/>
    </o:shapelayout>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392270"/>
    <w:rsid w:val="000005B2"/>
    <w:rsid w:val="00001706"/>
    <w:rsid w:val="000017E7"/>
    <w:rsid w:val="00001FDE"/>
    <w:rsid w:val="00002470"/>
    <w:rsid w:val="00002B84"/>
    <w:rsid w:val="00002FBC"/>
    <w:rsid w:val="0000331D"/>
    <w:rsid w:val="0000512E"/>
    <w:rsid w:val="00005644"/>
    <w:rsid w:val="00005871"/>
    <w:rsid w:val="00005B27"/>
    <w:rsid w:val="00005BDE"/>
    <w:rsid w:val="000062CD"/>
    <w:rsid w:val="00006F14"/>
    <w:rsid w:val="0000714E"/>
    <w:rsid w:val="00010E86"/>
    <w:rsid w:val="00013203"/>
    <w:rsid w:val="00013C08"/>
    <w:rsid w:val="000140B6"/>
    <w:rsid w:val="00014615"/>
    <w:rsid w:val="0001516A"/>
    <w:rsid w:val="00015299"/>
    <w:rsid w:val="000153AF"/>
    <w:rsid w:val="00016ADE"/>
    <w:rsid w:val="00016D19"/>
    <w:rsid w:val="00017350"/>
    <w:rsid w:val="00017DCC"/>
    <w:rsid w:val="00021B79"/>
    <w:rsid w:val="00021F34"/>
    <w:rsid w:val="00022415"/>
    <w:rsid w:val="000225EE"/>
    <w:rsid w:val="00023A7E"/>
    <w:rsid w:val="0002453F"/>
    <w:rsid w:val="00025217"/>
    <w:rsid w:val="0002787B"/>
    <w:rsid w:val="00027DAA"/>
    <w:rsid w:val="00031D68"/>
    <w:rsid w:val="00031E4D"/>
    <w:rsid w:val="00032D29"/>
    <w:rsid w:val="00033D7E"/>
    <w:rsid w:val="00033DA7"/>
    <w:rsid w:val="00034175"/>
    <w:rsid w:val="000357EF"/>
    <w:rsid w:val="00035DEE"/>
    <w:rsid w:val="00036388"/>
    <w:rsid w:val="00036C4C"/>
    <w:rsid w:val="00040B89"/>
    <w:rsid w:val="00040F95"/>
    <w:rsid w:val="0004151A"/>
    <w:rsid w:val="00041759"/>
    <w:rsid w:val="00041F70"/>
    <w:rsid w:val="00042E61"/>
    <w:rsid w:val="0004360A"/>
    <w:rsid w:val="000441EB"/>
    <w:rsid w:val="00044AA0"/>
    <w:rsid w:val="0004546A"/>
    <w:rsid w:val="0004748D"/>
    <w:rsid w:val="00050B49"/>
    <w:rsid w:val="00050F4A"/>
    <w:rsid w:val="0005145F"/>
    <w:rsid w:val="000524D7"/>
    <w:rsid w:val="00052995"/>
    <w:rsid w:val="00053337"/>
    <w:rsid w:val="00053DE1"/>
    <w:rsid w:val="00053FF1"/>
    <w:rsid w:val="000552DA"/>
    <w:rsid w:val="000554BA"/>
    <w:rsid w:val="00055A41"/>
    <w:rsid w:val="00055A64"/>
    <w:rsid w:val="00055B25"/>
    <w:rsid w:val="00055E6D"/>
    <w:rsid w:val="00055E71"/>
    <w:rsid w:val="000568F7"/>
    <w:rsid w:val="000605DC"/>
    <w:rsid w:val="00060785"/>
    <w:rsid w:val="00061340"/>
    <w:rsid w:val="00061DA3"/>
    <w:rsid w:val="00062396"/>
    <w:rsid w:val="00062516"/>
    <w:rsid w:val="0006339C"/>
    <w:rsid w:val="000636E6"/>
    <w:rsid w:val="000636F7"/>
    <w:rsid w:val="00063A30"/>
    <w:rsid w:val="00064EA8"/>
    <w:rsid w:val="000673DA"/>
    <w:rsid w:val="0007013B"/>
    <w:rsid w:val="00070A22"/>
    <w:rsid w:val="00070BCB"/>
    <w:rsid w:val="00070E26"/>
    <w:rsid w:val="000714FA"/>
    <w:rsid w:val="000725A3"/>
    <w:rsid w:val="0007285A"/>
    <w:rsid w:val="00072B20"/>
    <w:rsid w:val="000731D3"/>
    <w:rsid w:val="000735BA"/>
    <w:rsid w:val="000738A4"/>
    <w:rsid w:val="00081956"/>
    <w:rsid w:val="00081DFB"/>
    <w:rsid w:val="00082506"/>
    <w:rsid w:val="0008290F"/>
    <w:rsid w:val="00082E48"/>
    <w:rsid w:val="00083C98"/>
    <w:rsid w:val="00083D9D"/>
    <w:rsid w:val="0008443F"/>
    <w:rsid w:val="0009051E"/>
    <w:rsid w:val="00090D29"/>
    <w:rsid w:val="000928D8"/>
    <w:rsid w:val="000936D2"/>
    <w:rsid w:val="000953C2"/>
    <w:rsid w:val="00097A1D"/>
    <w:rsid w:val="000A01A2"/>
    <w:rsid w:val="000A0550"/>
    <w:rsid w:val="000A13EB"/>
    <w:rsid w:val="000A1480"/>
    <w:rsid w:val="000A1958"/>
    <w:rsid w:val="000A1C8D"/>
    <w:rsid w:val="000A2802"/>
    <w:rsid w:val="000A2FDF"/>
    <w:rsid w:val="000A33D7"/>
    <w:rsid w:val="000A37BE"/>
    <w:rsid w:val="000A4C4B"/>
    <w:rsid w:val="000A54D6"/>
    <w:rsid w:val="000A6462"/>
    <w:rsid w:val="000A7115"/>
    <w:rsid w:val="000A7708"/>
    <w:rsid w:val="000B11E8"/>
    <w:rsid w:val="000B2EA9"/>
    <w:rsid w:val="000B3C3B"/>
    <w:rsid w:val="000B4202"/>
    <w:rsid w:val="000B43B4"/>
    <w:rsid w:val="000B44A5"/>
    <w:rsid w:val="000B4865"/>
    <w:rsid w:val="000B61A1"/>
    <w:rsid w:val="000B758A"/>
    <w:rsid w:val="000B7D6A"/>
    <w:rsid w:val="000C02BC"/>
    <w:rsid w:val="000C144C"/>
    <w:rsid w:val="000C1FBF"/>
    <w:rsid w:val="000C21BB"/>
    <w:rsid w:val="000C2EBB"/>
    <w:rsid w:val="000C3021"/>
    <w:rsid w:val="000C38F7"/>
    <w:rsid w:val="000C3A23"/>
    <w:rsid w:val="000C42B8"/>
    <w:rsid w:val="000C457F"/>
    <w:rsid w:val="000C47AF"/>
    <w:rsid w:val="000C4D45"/>
    <w:rsid w:val="000C51D8"/>
    <w:rsid w:val="000C5539"/>
    <w:rsid w:val="000C55BA"/>
    <w:rsid w:val="000C56BE"/>
    <w:rsid w:val="000C57E3"/>
    <w:rsid w:val="000C66E3"/>
    <w:rsid w:val="000C6DC6"/>
    <w:rsid w:val="000C6E15"/>
    <w:rsid w:val="000C73D2"/>
    <w:rsid w:val="000D1164"/>
    <w:rsid w:val="000D1487"/>
    <w:rsid w:val="000D1D68"/>
    <w:rsid w:val="000D1F81"/>
    <w:rsid w:val="000D21F1"/>
    <w:rsid w:val="000D24EC"/>
    <w:rsid w:val="000D32BF"/>
    <w:rsid w:val="000D3407"/>
    <w:rsid w:val="000D3BE6"/>
    <w:rsid w:val="000D4A1C"/>
    <w:rsid w:val="000D4C40"/>
    <w:rsid w:val="000D4CAD"/>
    <w:rsid w:val="000D4DE3"/>
    <w:rsid w:val="000D6F66"/>
    <w:rsid w:val="000D7572"/>
    <w:rsid w:val="000D7582"/>
    <w:rsid w:val="000E037A"/>
    <w:rsid w:val="000E0B18"/>
    <w:rsid w:val="000E2CDD"/>
    <w:rsid w:val="000E3A45"/>
    <w:rsid w:val="000E3C38"/>
    <w:rsid w:val="000E4B56"/>
    <w:rsid w:val="000E620B"/>
    <w:rsid w:val="000E7265"/>
    <w:rsid w:val="000E736C"/>
    <w:rsid w:val="000E7DBE"/>
    <w:rsid w:val="000E7FBD"/>
    <w:rsid w:val="000F0C96"/>
    <w:rsid w:val="000F17A6"/>
    <w:rsid w:val="000F1BD8"/>
    <w:rsid w:val="000F1C10"/>
    <w:rsid w:val="000F1E06"/>
    <w:rsid w:val="000F223E"/>
    <w:rsid w:val="000F2481"/>
    <w:rsid w:val="000F2E27"/>
    <w:rsid w:val="000F416A"/>
    <w:rsid w:val="000F4586"/>
    <w:rsid w:val="000F558C"/>
    <w:rsid w:val="000F5836"/>
    <w:rsid w:val="000F5E43"/>
    <w:rsid w:val="000F5FFE"/>
    <w:rsid w:val="000F6572"/>
    <w:rsid w:val="000F6AC8"/>
    <w:rsid w:val="000F7500"/>
    <w:rsid w:val="000F7EA3"/>
    <w:rsid w:val="00101D9C"/>
    <w:rsid w:val="001027C6"/>
    <w:rsid w:val="001031C2"/>
    <w:rsid w:val="00104E15"/>
    <w:rsid w:val="00105255"/>
    <w:rsid w:val="001063EA"/>
    <w:rsid w:val="00106F9E"/>
    <w:rsid w:val="001072EC"/>
    <w:rsid w:val="001158D5"/>
    <w:rsid w:val="00115956"/>
    <w:rsid w:val="00115E78"/>
    <w:rsid w:val="001162E3"/>
    <w:rsid w:val="001167AB"/>
    <w:rsid w:val="001175F3"/>
    <w:rsid w:val="0011788A"/>
    <w:rsid w:val="0011789C"/>
    <w:rsid w:val="0012067A"/>
    <w:rsid w:val="001215CE"/>
    <w:rsid w:val="00121BB3"/>
    <w:rsid w:val="00121CFD"/>
    <w:rsid w:val="00123BC8"/>
    <w:rsid w:val="00123CFE"/>
    <w:rsid w:val="0012474F"/>
    <w:rsid w:val="0012490E"/>
    <w:rsid w:val="00124ABD"/>
    <w:rsid w:val="00127DC0"/>
    <w:rsid w:val="001305FD"/>
    <w:rsid w:val="001307D4"/>
    <w:rsid w:val="00131C4E"/>
    <w:rsid w:val="00132A5A"/>
    <w:rsid w:val="001330CB"/>
    <w:rsid w:val="00133163"/>
    <w:rsid w:val="00133964"/>
    <w:rsid w:val="00133CA1"/>
    <w:rsid w:val="00134815"/>
    <w:rsid w:val="00134DB8"/>
    <w:rsid w:val="001355F8"/>
    <w:rsid w:val="001371F4"/>
    <w:rsid w:val="00137BA6"/>
    <w:rsid w:val="00140420"/>
    <w:rsid w:val="001404E7"/>
    <w:rsid w:val="00141D96"/>
    <w:rsid w:val="001422BD"/>
    <w:rsid w:val="0014294D"/>
    <w:rsid w:val="00142BB3"/>
    <w:rsid w:val="00142BE4"/>
    <w:rsid w:val="001435E4"/>
    <w:rsid w:val="00145539"/>
    <w:rsid w:val="00146BF7"/>
    <w:rsid w:val="001470CD"/>
    <w:rsid w:val="00147AE7"/>
    <w:rsid w:val="00147F32"/>
    <w:rsid w:val="0015120C"/>
    <w:rsid w:val="00151506"/>
    <w:rsid w:val="001516C7"/>
    <w:rsid w:val="001518E5"/>
    <w:rsid w:val="001538E6"/>
    <w:rsid w:val="001541E1"/>
    <w:rsid w:val="00155004"/>
    <w:rsid w:val="00155035"/>
    <w:rsid w:val="00155D47"/>
    <w:rsid w:val="0015717D"/>
    <w:rsid w:val="00157E9A"/>
    <w:rsid w:val="00160B99"/>
    <w:rsid w:val="0016234E"/>
    <w:rsid w:val="001623D1"/>
    <w:rsid w:val="001627AF"/>
    <w:rsid w:val="001629CB"/>
    <w:rsid w:val="001634D6"/>
    <w:rsid w:val="00163AE3"/>
    <w:rsid w:val="00163D62"/>
    <w:rsid w:val="00165B35"/>
    <w:rsid w:val="0016678F"/>
    <w:rsid w:val="001668A5"/>
    <w:rsid w:val="00166E25"/>
    <w:rsid w:val="00167D85"/>
    <w:rsid w:val="00170853"/>
    <w:rsid w:val="00170BDF"/>
    <w:rsid w:val="00170CEC"/>
    <w:rsid w:val="00171BD3"/>
    <w:rsid w:val="00172C40"/>
    <w:rsid w:val="001740F9"/>
    <w:rsid w:val="001751AF"/>
    <w:rsid w:val="001757A8"/>
    <w:rsid w:val="00175E0D"/>
    <w:rsid w:val="00177103"/>
    <w:rsid w:val="00177622"/>
    <w:rsid w:val="00177A4B"/>
    <w:rsid w:val="00180119"/>
    <w:rsid w:val="00180F82"/>
    <w:rsid w:val="00181897"/>
    <w:rsid w:val="00181A54"/>
    <w:rsid w:val="00182AD7"/>
    <w:rsid w:val="001834C8"/>
    <w:rsid w:val="00183557"/>
    <w:rsid w:val="00183A50"/>
    <w:rsid w:val="00183CAD"/>
    <w:rsid w:val="00184211"/>
    <w:rsid w:val="001848C5"/>
    <w:rsid w:val="00185242"/>
    <w:rsid w:val="001861FD"/>
    <w:rsid w:val="0018639B"/>
    <w:rsid w:val="00191A77"/>
    <w:rsid w:val="00193F94"/>
    <w:rsid w:val="00195535"/>
    <w:rsid w:val="001964EF"/>
    <w:rsid w:val="001969FB"/>
    <w:rsid w:val="00196AC0"/>
    <w:rsid w:val="001970E7"/>
    <w:rsid w:val="00197ABF"/>
    <w:rsid w:val="00197C27"/>
    <w:rsid w:val="001A09A0"/>
    <w:rsid w:val="001A0A7A"/>
    <w:rsid w:val="001A3517"/>
    <w:rsid w:val="001A351C"/>
    <w:rsid w:val="001A370F"/>
    <w:rsid w:val="001A44B6"/>
    <w:rsid w:val="001A4D23"/>
    <w:rsid w:val="001A64DF"/>
    <w:rsid w:val="001A685F"/>
    <w:rsid w:val="001A7289"/>
    <w:rsid w:val="001A7CC5"/>
    <w:rsid w:val="001B057B"/>
    <w:rsid w:val="001B0B54"/>
    <w:rsid w:val="001B2083"/>
    <w:rsid w:val="001B3CB4"/>
    <w:rsid w:val="001B450A"/>
    <w:rsid w:val="001B48AA"/>
    <w:rsid w:val="001B615E"/>
    <w:rsid w:val="001B62AA"/>
    <w:rsid w:val="001B6666"/>
    <w:rsid w:val="001B680D"/>
    <w:rsid w:val="001B6C0C"/>
    <w:rsid w:val="001B6C76"/>
    <w:rsid w:val="001B730A"/>
    <w:rsid w:val="001C15FE"/>
    <w:rsid w:val="001C1945"/>
    <w:rsid w:val="001C25BA"/>
    <w:rsid w:val="001C3598"/>
    <w:rsid w:val="001C3CC8"/>
    <w:rsid w:val="001C3FDC"/>
    <w:rsid w:val="001C4C60"/>
    <w:rsid w:val="001C5E20"/>
    <w:rsid w:val="001C5FE8"/>
    <w:rsid w:val="001C624D"/>
    <w:rsid w:val="001C730A"/>
    <w:rsid w:val="001C79FE"/>
    <w:rsid w:val="001D00A8"/>
    <w:rsid w:val="001D0779"/>
    <w:rsid w:val="001D0F92"/>
    <w:rsid w:val="001D2DC4"/>
    <w:rsid w:val="001D2FB1"/>
    <w:rsid w:val="001D3049"/>
    <w:rsid w:val="001D33EF"/>
    <w:rsid w:val="001D3A10"/>
    <w:rsid w:val="001D3BB2"/>
    <w:rsid w:val="001D4587"/>
    <w:rsid w:val="001D4CA1"/>
    <w:rsid w:val="001D54AD"/>
    <w:rsid w:val="001D5DE1"/>
    <w:rsid w:val="001D63F8"/>
    <w:rsid w:val="001D7096"/>
    <w:rsid w:val="001D70BF"/>
    <w:rsid w:val="001D7293"/>
    <w:rsid w:val="001D74E1"/>
    <w:rsid w:val="001E05C7"/>
    <w:rsid w:val="001E0E84"/>
    <w:rsid w:val="001E1282"/>
    <w:rsid w:val="001E1373"/>
    <w:rsid w:val="001E16C8"/>
    <w:rsid w:val="001E1847"/>
    <w:rsid w:val="001E24A2"/>
    <w:rsid w:val="001E33DF"/>
    <w:rsid w:val="001E4A08"/>
    <w:rsid w:val="001E4B5E"/>
    <w:rsid w:val="001E4E15"/>
    <w:rsid w:val="001E5195"/>
    <w:rsid w:val="001E5ED9"/>
    <w:rsid w:val="001E6D8F"/>
    <w:rsid w:val="001E75C5"/>
    <w:rsid w:val="001F124A"/>
    <w:rsid w:val="001F16B9"/>
    <w:rsid w:val="001F16DE"/>
    <w:rsid w:val="001F1C40"/>
    <w:rsid w:val="001F2D75"/>
    <w:rsid w:val="001F38D3"/>
    <w:rsid w:val="001F418B"/>
    <w:rsid w:val="001F429E"/>
    <w:rsid w:val="001F4590"/>
    <w:rsid w:val="001F4D15"/>
    <w:rsid w:val="001F4D90"/>
    <w:rsid w:val="001F5A2D"/>
    <w:rsid w:val="001F5CB6"/>
    <w:rsid w:val="001F60BF"/>
    <w:rsid w:val="001F656E"/>
    <w:rsid w:val="001F66F8"/>
    <w:rsid w:val="001F679B"/>
    <w:rsid w:val="001F68AB"/>
    <w:rsid w:val="001F6953"/>
    <w:rsid w:val="001F773E"/>
    <w:rsid w:val="001F780E"/>
    <w:rsid w:val="002001C2"/>
    <w:rsid w:val="002003FC"/>
    <w:rsid w:val="0020091A"/>
    <w:rsid w:val="00200D13"/>
    <w:rsid w:val="002019AA"/>
    <w:rsid w:val="00201AEE"/>
    <w:rsid w:val="00201C11"/>
    <w:rsid w:val="002024EA"/>
    <w:rsid w:val="00203112"/>
    <w:rsid w:val="00203697"/>
    <w:rsid w:val="002042C4"/>
    <w:rsid w:val="002048CA"/>
    <w:rsid w:val="00204F53"/>
    <w:rsid w:val="00205615"/>
    <w:rsid w:val="002062AA"/>
    <w:rsid w:val="0020636C"/>
    <w:rsid w:val="00206E12"/>
    <w:rsid w:val="002073E0"/>
    <w:rsid w:val="00207B6F"/>
    <w:rsid w:val="00210E54"/>
    <w:rsid w:val="00211057"/>
    <w:rsid w:val="00211B68"/>
    <w:rsid w:val="0021246B"/>
    <w:rsid w:val="00213334"/>
    <w:rsid w:val="0021404B"/>
    <w:rsid w:val="0021420F"/>
    <w:rsid w:val="00214566"/>
    <w:rsid w:val="0021497C"/>
    <w:rsid w:val="002149E2"/>
    <w:rsid w:val="002154E8"/>
    <w:rsid w:val="00215839"/>
    <w:rsid w:val="002161BB"/>
    <w:rsid w:val="00217686"/>
    <w:rsid w:val="002176B2"/>
    <w:rsid w:val="00221355"/>
    <w:rsid w:val="002216E7"/>
    <w:rsid w:val="002220CE"/>
    <w:rsid w:val="00222434"/>
    <w:rsid w:val="002244DE"/>
    <w:rsid w:val="00224AF7"/>
    <w:rsid w:val="00226755"/>
    <w:rsid w:val="002278FB"/>
    <w:rsid w:val="002307EC"/>
    <w:rsid w:val="00230848"/>
    <w:rsid w:val="00231A82"/>
    <w:rsid w:val="00231DBE"/>
    <w:rsid w:val="00233E57"/>
    <w:rsid w:val="00234505"/>
    <w:rsid w:val="00234774"/>
    <w:rsid w:val="00234C55"/>
    <w:rsid w:val="002353D8"/>
    <w:rsid w:val="002369E8"/>
    <w:rsid w:val="00236DAB"/>
    <w:rsid w:val="00237441"/>
    <w:rsid w:val="002402CB"/>
    <w:rsid w:val="002418F1"/>
    <w:rsid w:val="0024229C"/>
    <w:rsid w:val="00242762"/>
    <w:rsid w:val="00243613"/>
    <w:rsid w:val="00243751"/>
    <w:rsid w:val="00244094"/>
    <w:rsid w:val="0024490C"/>
    <w:rsid w:val="002454D9"/>
    <w:rsid w:val="00245502"/>
    <w:rsid w:val="00245B12"/>
    <w:rsid w:val="0024751D"/>
    <w:rsid w:val="00247CCC"/>
    <w:rsid w:val="00247E79"/>
    <w:rsid w:val="00251082"/>
    <w:rsid w:val="00251F60"/>
    <w:rsid w:val="00252FCA"/>
    <w:rsid w:val="00253713"/>
    <w:rsid w:val="002539F1"/>
    <w:rsid w:val="00253DD1"/>
    <w:rsid w:val="00254652"/>
    <w:rsid w:val="00254828"/>
    <w:rsid w:val="00254EDA"/>
    <w:rsid w:val="00255649"/>
    <w:rsid w:val="00256645"/>
    <w:rsid w:val="00257073"/>
    <w:rsid w:val="00257BF5"/>
    <w:rsid w:val="0026005B"/>
    <w:rsid w:val="00260961"/>
    <w:rsid w:val="00261F89"/>
    <w:rsid w:val="00262F27"/>
    <w:rsid w:val="002637A0"/>
    <w:rsid w:val="002642EF"/>
    <w:rsid w:val="0026539B"/>
    <w:rsid w:val="00266090"/>
    <w:rsid w:val="00266B27"/>
    <w:rsid w:val="00266E90"/>
    <w:rsid w:val="00267468"/>
    <w:rsid w:val="00271A5E"/>
    <w:rsid w:val="00271EA2"/>
    <w:rsid w:val="00273CCD"/>
    <w:rsid w:val="00273D5A"/>
    <w:rsid w:val="00273F04"/>
    <w:rsid w:val="0027451E"/>
    <w:rsid w:val="00275D16"/>
    <w:rsid w:val="00275E1D"/>
    <w:rsid w:val="002763C6"/>
    <w:rsid w:val="00276D50"/>
    <w:rsid w:val="002774F9"/>
    <w:rsid w:val="002778A8"/>
    <w:rsid w:val="00277AB7"/>
    <w:rsid w:val="0028063B"/>
    <w:rsid w:val="002806CA"/>
    <w:rsid w:val="0028149D"/>
    <w:rsid w:val="00282D60"/>
    <w:rsid w:val="00283D66"/>
    <w:rsid w:val="002840E9"/>
    <w:rsid w:val="002843F2"/>
    <w:rsid w:val="002847B3"/>
    <w:rsid w:val="00285061"/>
    <w:rsid w:val="002850A7"/>
    <w:rsid w:val="00287C52"/>
    <w:rsid w:val="00290F79"/>
    <w:rsid w:val="002917A1"/>
    <w:rsid w:val="002933D5"/>
    <w:rsid w:val="00293B2C"/>
    <w:rsid w:val="00293B74"/>
    <w:rsid w:val="002942B9"/>
    <w:rsid w:val="002948A5"/>
    <w:rsid w:val="00294957"/>
    <w:rsid w:val="002950B2"/>
    <w:rsid w:val="0029524C"/>
    <w:rsid w:val="00295CE1"/>
    <w:rsid w:val="002962CC"/>
    <w:rsid w:val="0029707C"/>
    <w:rsid w:val="00297C43"/>
    <w:rsid w:val="00297C89"/>
    <w:rsid w:val="00297C98"/>
    <w:rsid w:val="00297D55"/>
    <w:rsid w:val="002A091A"/>
    <w:rsid w:val="002A112D"/>
    <w:rsid w:val="002A1303"/>
    <w:rsid w:val="002A161B"/>
    <w:rsid w:val="002A227E"/>
    <w:rsid w:val="002A345F"/>
    <w:rsid w:val="002A3586"/>
    <w:rsid w:val="002A3893"/>
    <w:rsid w:val="002A416B"/>
    <w:rsid w:val="002A494F"/>
    <w:rsid w:val="002A4E2D"/>
    <w:rsid w:val="002A5520"/>
    <w:rsid w:val="002A55B3"/>
    <w:rsid w:val="002A736A"/>
    <w:rsid w:val="002A783D"/>
    <w:rsid w:val="002A783E"/>
    <w:rsid w:val="002A79DB"/>
    <w:rsid w:val="002B0459"/>
    <w:rsid w:val="002B06CF"/>
    <w:rsid w:val="002B1281"/>
    <w:rsid w:val="002B2276"/>
    <w:rsid w:val="002B3756"/>
    <w:rsid w:val="002B53AD"/>
    <w:rsid w:val="002B561C"/>
    <w:rsid w:val="002B57B2"/>
    <w:rsid w:val="002B5ACA"/>
    <w:rsid w:val="002B67B1"/>
    <w:rsid w:val="002B6DD1"/>
    <w:rsid w:val="002C08C9"/>
    <w:rsid w:val="002C0D6B"/>
    <w:rsid w:val="002C101F"/>
    <w:rsid w:val="002C1670"/>
    <w:rsid w:val="002C350C"/>
    <w:rsid w:val="002C37BD"/>
    <w:rsid w:val="002C3DD3"/>
    <w:rsid w:val="002C46BF"/>
    <w:rsid w:val="002C55C0"/>
    <w:rsid w:val="002C5727"/>
    <w:rsid w:val="002C57B0"/>
    <w:rsid w:val="002C5BFA"/>
    <w:rsid w:val="002C5EA5"/>
    <w:rsid w:val="002C6673"/>
    <w:rsid w:val="002C771C"/>
    <w:rsid w:val="002C7B42"/>
    <w:rsid w:val="002D08F0"/>
    <w:rsid w:val="002D117D"/>
    <w:rsid w:val="002D19D1"/>
    <w:rsid w:val="002D2565"/>
    <w:rsid w:val="002D27DE"/>
    <w:rsid w:val="002D29FE"/>
    <w:rsid w:val="002D3B49"/>
    <w:rsid w:val="002D4659"/>
    <w:rsid w:val="002D4851"/>
    <w:rsid w:val="002D4D0A"/>
    <w:rsid w:val="002D64CB"/>
    <w:rsid w:val="002D686C"/>
    <w:rsid w:val="002D69AA"/>
    <w:rsid w:val="002D732F"/>
    <w:rsid w:val="002E017D"/>
    <w:rsid w:val="002E0181"/>
    <w:rsid w:val="002E0473"/>
    <w:rsid w:val="002E07A9"/>
    <w:rsid w:val="002E0F21"/>
    <w:rsid w:val="002E1E4B"/>
    <w:rsid w:val="002E1FB2"/>
    <w:rsid w:val="002E31B9"/>
    <w:rsid w:val="002E3739"/>
    <w:rsid w:val="002E6107"/>
    <w:rsid w:val="002E7311"/>
    <w:rsid w:val="002F13C7"/>
    <w:rsid w:val="002F2215"/>
    <w:rsid w:val="002F254A"/>
    <w:rsid w:val="002F270C"/>
    <w:rsid w:val="002F3A42"/>
    <w:rsid w:val="002F3C72"/>
    <w:rsid w:val="002F405F"/>
    <w:rsid w:val="002F4D53"/>
    <w:rsid w:val="002F50DB"/>
    <w:rsid w:val="002F5247"/>
    <w:rsid w:val="002F5B7F"/>
    <w:rsid w:val="002F6455"/>
    <w:rsid w:val="002F66CD"/>
    <w:rsid w:val="002F6E01"/>
    <w:rsid w:val="003004E3"/>
    <w:rsid w:val="00300C59"/>
    <w:rsid w:val="00300F4D"/>
    <w:rsid w:val="0030182D"/>
    <w:rsid w:val="00301CC9"/>
    <w:rsid w:val="00302238"/>
    <w:rsid w:val="00302529"/>
    <w:rsid w:val="00302748"/>
    <w:rsid w:val="00302D7E"/>
    <w:rsid w:val="00303267"/>
    <w:rsid w:val="00303871"/>
    <w:rsid w:val="00303BBD"/>
    <w:rsid w:val="0030538B"/>
    <w:rsid w:val="003053A8"/>
    <w:rsid w:val="003057CC"/>
    <w:rsid w:val="00306BF7"/>
    <w:rsid w:val="0031000C"/>
    <w:rsid w:val="00313476"/>
    <w:rsid w:val="00313B0A"/>
    <w:rsid w:val="00314179"/>
    <w:rsid w:val="003143EB"/>
    <w:rsid w:val="00314984"/>
    <w:rsid w:val="0031597E"/>
    <w:rsid w:val="00316B7A"/>
    <w:rsid w:val="00317A4E"/>
    <w:rsid w:val="00321969"/>
    <w:rsid w:val="00321BFD"/>
    <w:rsid w:val="00322544"/>
    <w:rsid w:val="003225D8"/>
    <w:rsid w:val="003234B2"/>
    <w:rsid w:val="00323C8A"/>
    <w:rsid w:val="003249E4"/>
    <w:rsid w:val="00325034"/>
    <w:rsid w:val="003251FB"/>
    <w:rsid w:val="00325E2C"/>
    <w:rsid w:val="00326639"/>
    <w:rsid w:val="00327415"/>
    <w:rsid w:val="0033022A"/>
    <w:rsid w:val="003303E3"/>
    <w:rsid w:val="003306F9"/>
    <w:rsid w:val="003309D1"/>
    <w:rsid w:val="00331349"/>
    <w:rsid w:val="0033257A"/>
    <w:rsid w:val="003334DE"/>
    <w:rsid w:val="003339C7"/>
    <w:rsid w:val="00334117"/>
    <w:rsid w:val="00335590"/>
    <w:rsid w:val="00335A10"/>
    <w:rsid w:val="00335D15"/>
    <w:rsid w:val="00335F70"/>
    <w:rsid w:val="0033614D"/>
    <w:rsid w:val="00336157"/>
    <w:rsid w:val="00336207"/>
    <w:rsid w:val="00336670"/>
    <w:rsid w:val="00336821"/>
    <w:rsid w:val="00336E21"/>
    <w:rsid w:val="00337024"/>
    <w:rsid w:val="0034029D"/>
    <w:rsid w:val="00340971"/>
    <w:rsid w:val="003410B4"/>
    <w:rsid w:val="00342B0B"/>
    <w:rsid w:val="003433C4"/>
    <w:rsid w:val="0034374B"/>
    <w:rsid w:val="00343AC6"/>
    <w:rsid w:val="0034419F"/>
    <w:rsid w:val="0034478A"/>
    <w:rsid w:val="0034482F"/>
    <w:rsid w:val="00345292"/>
    <w:rsid w:val="00345401"/>
    <w:rsid w:val="00345902"/>
    <w:rsid w:val="0034729B"/>
    <w:rsid w:val="00347473"/>
    <w:rsid w:val="00347816"/>
    <w:rsid w:val="00350501"/>
    <w:rsid w:val="0035110B"/>
    <w:rsid w:val="0035158F"/>
    <w:rsid w:val="00351776"/>
    <w:rsid w:val="00351E87"/>
    <w:rsid w:val="0035220B"/>
    <w:rsid w:val="0035233A"/>
    <w:rsid w:val="00354DCC"/>
    <w:rsid w:val="00354FC9"/>
    <w:rsid w:val="0035648C"/>
    <w:rsid w:val="003577F0"/>
    <w:rsid w:val="003578DB"/>
    <w:rsid w:val="00357BD2"/>
    <w:rsid w:val="00360A30"/>
    <w:rsid w:val="003619EC"/>
    <w:rsid w:val="003639C8"/>
    <w:rsid w:val="00363BEA"/>
    <w:rsid w:val="00364122"/>
    <w:rsid w:val="003649B4"/>
    <w:rsid w:val="00364AF8"/>
    <w:rsid w:val="00365CA9"/>
    <w:rsid w:val="003660B4"/>
    <w:rsid w:val="003663F5"/>
    <w:rsid w:val="0036659E"/>
    <w:rsid w:val="00366BD5"/>
    <w:rsid w:val="00367EE2"/>
    <w:rsid w:val="0037004F"/>
    <w:rsid w:val="0037032C"/>
    <w:rsid w:val="00372733"/>
    <w:rsid w:val="00372DE8"/>
    <w:rsid w:val="00373074"/>
    <w:rsid w:val="00373C03"/>
    <w:rsid w:val="00374525"/>
    <w:rsid w:val="0037575F"/>
    <w:rsid w:val="00377228"/>
    <w:rsid w:val="003779B9"/>
    <w:rsid w:val="003820DF"/>
    <w:rsid w:val="00383983"/>
    <w:rsid w:val="003849F6"/>
    <w:rsid w:val="00384A26"/>
    <w:rsid w:val="00384B4E"/>
    <w:rsid w:val="00385737"/>
    <w:rsid w:val="0038707A"/>
    <w:rsid w:val="003871D2"/>
    <w:rsid w:val="00387D1A"/>
    <w:rsid w:val="00387E45"/>
    <w:rsid w:val="0039032B"/>
    <w:rsid w:val="0039178D"/>
    <w:rsid w:val="0039218B"/>
    <w:rsid w:val="00392270"/>
    <w:rsid w:val="0039290E"/>
    <w:rsid w:val="003931AA"/>
    <w:rsid w:val="00393224"/>
    <w:rsid w:val="00393512"/>
    <w:rsid w:val="00393FE3"/>
    <w:rsid w:val="003945FC"/>
    <w:rsid w:val="00395F52"/>
    <w:rsid w:val="00395F77"/>
    <w:rsid w:val="00396D1F"/>
    <w:rsid w:val="00397E0F"/>
    <w:rsid w:val="003A0BC4"/>
    <w:rsid w:val="003A180B"/>
    <w:rsid w:val="003A2735"/>
    <w:rsid w:val="003A28F6"/>
    <w:rsid w:val="003A2F3F"/>
    <w:rsid w:val="003A3682"/>
    <w:rsid w:val="003A36B5"/>
    <w:rsid w:val="003A5499"/>
    <w:rsid w:val="003A5BCC"/>
    <w:rsid w:val="003A5F07"/>
    <w:rsid w:val="003A6A84"/>
    <w:rsid w:val="003B012A"/>
    <w:rsid w:val="003B0A39"/>
    <w:rsid w:val="003B129E"/>
    <w:rsid w:val="003B1D6A"/>
    <w:rsid w:val="003B2267"/>
    <w:rsid w:val="003B22C2"/>
    <w:rsid w:val="003B2BE7"/>
    <w:rsid w:val="003B2BF5"/>
    <w:rsid w:val="003B3A42"/>
    <w:rsid w:val="003B3A83"/>
    <w:rsid w:val="003B40CA"/>
    <w:rsid w:val="003B42EA"/>
    <w:rsid w:val="003B496B"/>
    <w:rsid w:val="003B4A2C"/>
    <w:rsid w:val="003B4EF1"/>
    <w:rsid w:val="003B5624"/>
    <w:rsid w:val="003B6021"/>
    <w:rsid w:val="003B66F5"/>
    <w:rsid w:val="003B6A24"/>
    <w:rsid w:val="003B6F9B"/>
    <w:rsid w:val="003B70FC"/>
    <w:rsid w:val="003B7B89"/>
    <w:rsid w:val="003B7E3D"/>
    <w:rsid w:val="003C0308"/>
    <w:rsid w:val="003C06A2"/>
    <w:rsid w:val="003C07BC"/>
    <w:rsid w:val="003C0EDB"/>
    <w:rsid w:val="003C14B1"/>
    <w:rsid w:val="003C1816"/>
    <w:rsid w:val="003C21ED"/>
    <w:rsid w:val="003C26E8"/>
    <w:rsid w:val="003C45BB"/>
    <w:rsid w:val="003C5BA8"/>
    <w:rsid w:val="003C7AD7"/>
    <w:rsid w:val="003D054C"/>
    <w:rsid w:val="003D0ABA"/>
    <w:rsid w:val="003D0B75"/>
    <w:rsid w:val="003D23E0"/>
    <w:rsid w:val="003D3128"/>
    <w:rsid w:val="003D31EB"/>
    <w:rsid w:val="003D37FD"/>
    <w:rsid w:val="003D3B3A"/>
    <w:rsid w:val="003D3E4B"/>
    <w:rsid w:val="003D3ED7"/>
    <w:rsid w:val="003D423A"/>
    <w:rsid w:val="003D4C75"/>
    <w:rsid w:val="003D6231"/>
    <w:rsid w:val="003D7270"/>
    <w:rsid w:val="003D76CF"/>
    <w:rsid w:val="003E0F4F"/>
    <w:rsid w:val="003E1F1F"/>
    <w:rsid w:val="003E2B7E"/>
    <w:rsid w:val="003E3B60"/>
    <w:rsid w:val="003E3B70"/>
    <w:rsid w:val="003E3D58"/>
    <w:rsid w:val="003E41A3"/>
    <w:rsid w:val="003E5A53"/>
    <w:rsid w:val="003E5C13"/>
    <w:rsid w:val="003E5E82"/>
    <w:rsid w:val="003E632C"/>
    <w:rsid w:val="003E664D"/>
    <w:rsid w:val="003E6A21"/>
    <w:rsid w:val="003E6D1E"/>
    <w:rsid w:val="003E7081"/>
    <w:rsid w:val="003E7353"/>
    <w:rsid w:val="003F10B0"/>
    <w:rsid w:val="003F1B27"/>
    <w:rsid w:val="003F1F7A"/>
    <w:rsid w:val="003F21C6"/>
    <w:rsid w:val="003F2345"/>
    <w:rsid w:val="003F26D1"/>
    <w:rsid w:val="003F49D0"/>
    <w:rsid w:val="003F4DE0"/>
    <w:rsid w:val="003F53CB"/>
    <w:rsid w:val="003F6777"/>
    <w:rsid w:val="003F6C8A"/>
    <w:rsid w:val="003F7475"/>
    <w:rsid w:val="004008A2"/>
    <w:rsid w:val="0040103D"/>
    <w:rsid w:val="00401176"/>
    <w:rsid w:val="00401327"/>
    <w:rsid w:val="0040251C"/>
    <w:rsid w:val="00403F32"/>
    <w:rsid w:val="00404316"/>
    <w:rsid w:val="0040431B"/>
    <w:rsid w:val="00404978"/>
    <w:rsid w:val="0040500C"/>
    <w:rsid w:val="004052DF"/>
    <w:rsid w:val="00405B57"/>
    <w:rsid w:val="00406258"/>
    <w:rsid w:val="004066E3"/>
    <w:rsid w:val="00406EA9"/>
    <w:rsid w:val="00410430"/>
    <w:rsid w:val="00410761"/>
    <w:rsid w:val="00410D9F"/>
    <w:rsid w:val="0041346A"/>
    <w:rsid w:val="00413E0A"/>
    <w:rsid w:val="00414600"/>
    <w:rsid w:val="004151E9"/>
    <w:rsid w:val="00415768"/>
    <w:rsid w:val="00415BEA"/>
    <w:rsid w:val="00415C56"/>
    <w:rsid w:val="00416FDD"/>
    <w:rsid w:val="004172D5"/>
    <w:rsid w:val="004173EB"/>
    <w:rsid w:val="00420289"/>
    <w:rsid w:val="004213BD"/>
    <w:rsid w:val="004213D3"/>
    <w:rsid w:val="004216AA"/>
    <w:rsid w:val="00422349"/>
    <w:rsid w:val="0042243C"/>
    <w:rsid w:val="00422EB9"/>
    <w:rsid w:val="0042375F"/>
    <w:rsid w:val="00423F51"/>
    <w:rsid w:val="00424AAF"/>
    <w:rsid w:val="0042542C"/>
    <w:rsid w:val="00425574"/>
    <w:rsid w:val="00425EE9"/>
    <w:rsid w:val="00427809"/>
    <w:rsid w:val="00427AD9"/>
    <w:rsid w:val="00427C7C"/>
    <w:rsid w:val="00427D03"/>
    <w:rsid w:val="00430130"/>
    <w:rsid w:val="0043181C"/>
    <w:rsid w:val="004318C4"/>
    <w:rsid w:val="00431A4F"/>
    <w:rsid w:val="0043242E"/>
    <w:rsid w:val="00433DC2"/>
    <w:rsid w:val="00433FB9"/>
    <w:rsid w:val="00434074"/>
    <w:rsid w:val="0043427C"/>
    <w:rsid w:val="00434298"/>
    <w:rsid w:val="00434458"/>
    <w:rsid w:val="00434581"/>
    <w:rsid w:val="004354E9"/>
    <w:rsid w:val="004356F2"/>
    <w:rsid w:val="00436BF9"/>
    <w:rsid w:val="00436E46"/>
    <w:rsid w:val="004376BB"/>
    <w:rsid w:val="00440200"/>
    <w:rsid w:val="00440D51"/>
    <w:rsid w:val="00440E2B"/>
    <w:rsid w:val="00441CE2"/>
    <w:rsid w:val="00441E23"/>
    <w:rsid w:val="00442F7D"/>
    <w:rsid w:val="00443011"/>
    <w:rsid w:val="00443459"/>
    <w:rsid w:val="004447E2"/>
    <w:rsid w:val="00444D98"/>
    <w:rsid w:val="00446253"/>
    <w:rsid w:val="00446607"/>
    <w:rsid w:val="0044749A"/>
    <w:rsid w:val="00447D1F"/>
    <w:rsid w:val="00447E11"/>
    <w:rsid w:val="004503DC"/>
    <w:rsid w:val="00451FEC"/>
    <w:rsid w:val="004523A2"/>
    <w:rsid w:val="00453907"/>
    <w:rsid w:val="004546E3"/>
    <w:rsid w:val="00456E1A"/>
    <w:rsid w:val="004572F9"/>
    <w:rsid w:val="00457ADB"/>
    <w:rsid w:val="0046003C"/>
    <w:rsid w:val="004600F6"/>
    <w:rsid w:val="00461F02"/>
    <w:rsid w:val="0046387E"/>
    <w:rsid w:val="00463DC3"/>
    <w:rsid w:val="00464037"/>
    <w:rsid w:val="00464C2B"/>
    <w:rsid w:val="004652D6"/>
    <w:rsid w:val="00465F87"/>
    <w:rsid w:val="00467DF9"/>
    <w:rsid w:val="00471251"/>
    <w:rsid w:val="0047152E"/>
    <w:rsid w:val="00471654"/>
    <w:rsid w:val="0047188F"/>
    <w:rsid w:val="0047326C"/>
    <w:rsid w:val="004740C7"/>
    <w:rsid w:val="00474550"/>
    <w:rsid w:val="0047467B"/>
    <w:rsid w:val="00474D31"/>
    <w:rsid w:val="004750F9"/>
    <w:rsid w:val="00475BCF"/>
    <w:rsid w:val="00475DF9"/>
    <w:rsid w:val="00476215"/>
    <w:rsid w:val="00476B7C"/>
    <w:rsid w:val="004776E0"/>
    <w:rsid w:val="0047793A"/>
    <w:rsid w:val="00480605"/>
    <w:rsid w:val="00480BB3"/>
    <w:rsid w:val="00482857"/>
    <w:rsid w:val="0048361A"/>
    <w:rsid w:val="00483E59"/>
    <w:rsid w:val="00483E7B"/>
    <w:rsid w:val="00484577"/>
    <w:rsid w:val="00484614"/>
    <w:rsid w:val="0048546A"/>
    <w:rsid w:val="00485538"/>
    <w:rsid w:val="00485E50"/>
    <w:rsid w:val="00486F18"/>
    <w:rsid w:val="00490266"/>
    <w:rsid w:val="004909FC"/>
    <w:rsid w:val="004916CA"/>
    <w:rsid w:val="00492A5A"/>
    <w:rsid w:val="00492E76"/>
    <w:rsid w:val="00493BDF"/>
    <w:rsid w:val="00493C66"/>
    <w:rsid w:val="00494466"/>
    <w:rsid w:val="004953F7"/>
    <w:rsid w:val="00496AB5"/>
    <w:rsid w:val="00496AF8"/>
    <w:rsid w:val="00496C69"/>
    <w:rsid w:val="00497433"/>
    <w:rsid w:val="00497ABE"/>
    <w:rsid w:val="004A002F"/>
    <w:rsid w:val="004A0255"/>
    <w:rsid w:val="004A0487"/>
    <w:rsid w:val="004A086D"/>
    <w:rsid w:val="004A0A0F"/>
    <w:rsid w:val="004A2175"/>
    <w:rsid w:val="004A397D"/>
    <w:rsid w:val="004A4396"/>
    <w:rsid w:val="004A4F57"/>
    <w:rsid w:val="004A5799"/>
    <w:rsid w:val="004A6074"/>
    <w:rsid w:val="004A6449"/>
    <w:rsid w:val="004A7631"/>
    <w:rsid w:val="004A777C"/>
    <w:rsid w:val="004A7856"/>
    <w:rsid w:val="004B03DB"/>
    <w:rsid w:val="004B1841"/>
    <w:rsid w:val="004B37BD"/>
    <w:rsid w:val="004B3DC0"/>
    <w:rsid w:val="004B4368"/>
    <w:rsid w:val="004B4722"/>
    <w:rsid w:val="004B4D22"/>
    <w:rsid w:val="004B5106"/>
    <w:rsid w:val="004B59A8"/>
    <w:rsid w:val="004B5DA0"/>
    <w:rsid w:val="004B62FE"/>
    <w:rsid w:val="004B74AF"/>
    <w:rsid w:val="004B7BFB"/>
    <w:rsid w:val="004B7C89"/>
    <w:rsid w:val="004C004A"/>
    <w:rsid w:val="004C0189"/>
    <w:rsid w:val="004C03E7"/>
    <w:rsid w:val="004C1D0D"/>
    <w:rsid w:val="004C2E72"/>
    <w:rsid w:val="004C32E6"/>
    <w:rsid w:val="004C3B55"/>
    <w:rsid w:val="004C566F"/>
    <w:rsid w:val="004C5EE9"/>
    <w:rsid w:val="004C61F5"/>
    <w:rsid w:val="004C6A2D"/>
    <w:rsid w:val="004C7885"/>
    <w:rsid w:val="004D02CA"/>
    <w:rsid w:val="004D062B"/>
    <w:rsid w:val="004D096C"/>
    <w:rsid w:val="004D0BDA"/>
    <w:rsid w:val="004D167A"/>
    <w:rsid w:val="004D1957"/>
    <w:rsid w:val="004D2099"/>
    <w:rsid w:val="004D20D5"/>
    <w:rsid w:val="004D2B94"/>
    <w:rsid w:val="004D2C9A"/>
    <w:rsid w:val="004D3613"/>
    <w:rsid w:val="004D5887"/>
    <w:rsid w:val="004D5BDE"/>
    <w:rsid w:val="004D67FE"/>
    <w:rsid w:val="004D6FCF"/>
    <w:rsid w:val="004D7F5A"/>
    <w:rsid w:val="004E02D2"/>
    <w:rsid w:val="004E142D"/>
    <w:rsid w:val="004E194E"/>
    <w:rsid w:val="004E36BA"/>
    <w:rsid w:val="004E3A87"/>
    <w:rsid w:val="004E40C3"/>
    <w:rsid w:val="004E44C0"/>
    <w:rsid w:val="004E495A"/>
    <w:rsid w:val="004E50C0"/>
    <w:rsid w:val="004E5652"/>
    <w:rsid w:val="004E5A68"/>
    <w:rsid w:val="004E5E9F"/>
    <w:rsid w:val="004E69FC"/>
    <w:rsid w:val="004E7235"/>
    <w:rsid w:val="004E7F47"/>
    <w:rsid w:val="004F1724"/>
    <w:rsid w:val="004F3119"/>
    <w:rsid w:val="004F322E"/>
    <w:rsid w:val="004F3325"/>
    <w:rsid w:val="004F406E"/>
    <w:rsid w:val="004F4078"/>
    <w:rsid w:val="004F44C3"/>
    <w:rsid w:val="004F46EE"/>
    <w:rsid w:val="004F7044"/>
    <w:rsid w:val="004F7437"/>
    <w:rsid w:val="004F778D"/>
    <w:rsid w:val="004F7AA4"/>
    <w:rsid w:val="004F7DE1"/>
    <w:rsid w:val="005003C8"/>
    <w:rsid w:val="0050208E"/>
    <w:rsid w:val="005023D2"/>
    <w:rsid w:val="0050451B"/>
    <w:rsid w:val="00504C57"/>
    <w:rsid w:val="00504CBF"/>
    <w:rsid w:val="005064B0"/>
    <w:rsid w:val="00506B56"/>
    <w:rsid w:val="0050705D"/>
    <w:rsid w:val="0051054E"/>
    <w:rsid w:val="00510E67"/>
    <w:rsid w:val="005112FC"/>
    <w:rsid w:val="00511CA5"/>
    <w:rsid w:val="00511E16"/>
    <w:rsid w:val="0051269B"/>
    <w:rsid w:val="005131B5"/>
    <w:rsid w:val="005139BE"/>
    <w:rsid w:val="00513D30"/>
    <w:rsid w:val="00513E83"/>
    <w:rsid w:val="0051414D"/>
    <w:rsid w:val="00514E48"/>
    <w:rsid w:val="0051550D"/>
    <w:rsid w:val="00515930"/>
    <w:rsid w:val="00515BF3"/>
    <w:rsid w:val="00515F8C"/>
    <w:rsid w:val="005165E0"/>
    <w:rsid w:val="00517101"/>
    <w:rsid w:val="00517794"/>
    <w:rsid w:val="00517CE7"/>
    <w:rsid w:val="00520212"/>
    <w:rsid w:val="00520C06"/>
    <w:rsid w:val="00521088"/>
    <w:rsid w:val="00521A50"/>
    <w:rsid w:val="0052211F"/>
    <w:rsid w:val="00522503"/>
    <w:rsid w:val="00522DE0"/>
    <w:rsid w:val="00523224"/>
    <w:rsid w:val="00523C9C"/>
    <w:rsid w:val="00524C8F"/>
    <w:rsid w:val="0052565D"/>
    <w:rsid w:val="00525A59"/>
    <w:rsid w:val="00525C15"/>
    <w:rsid w:val="005261C7"/>
    <w:rsid w:val="005262E8"/>
    <w:rsid w:val="00526364"/>
    <w:rsid w:val="005269D0"/>
    <w:rsid w:val="00527654"/>
    <w:rsid w:val="00527BCC"/>
    <w:rsid w:val="00530124"/>
    <w:rsid w:val="005307DD"/>
    <w:rsid w:val="00530E62"/>
    <w:rsid w:val="00531579"/>
    <w:rsid w:val="00531B33"/>
    <w:rsid w:val="00531E1A"/>
    <w:rsid w:val="0053279E"/>
    <w:rsid w:val="0053303B"/>
    <w:rsid w:val="00533E6E"/>
    <w:rsid w:val="00534068"/>
    <w:rsid w:val="00534A76"/>
    <w:rsid w:val="00535ADA"/>
    <w:rsid w:val="00536AB6"/>
    <w:rsid w:val="00537531"/>
    <w:rsid w:val="005400D6"/>
    <w:rsid w:val="00540288"/>
    <w:rsid w:val="00540F53"/>
    <w:rsid w:val="00542720"/>
    <w:rsid w:val="0054287C"/>
    <w:rsid w:val="00542B98"/>
    <w:rsid w:val="00543387"/>
    <w:rsid w:val="00543B7D"/>
    <w:rsid w:val="00544A2C"/>
    <w:rsid w:val="00545918"/>
    <w:rsid w:val="00547052"/>
    <w:rsid w:val="005504BE"/>
    <w:rsid w:val="00550834"/>
    <w:rsid w:val="00550CAC"/>
    <w:rsid w:val="0055127B"/>
    <w:rsid w:val="00551348"/>
    <w:rsid w:val="00551BF2"/>
    <w:rsid w:val="00552AB5"/>
    <w:rsid w:val="00552D1E"/>
    <w:rsid w:val="00552E8B"/>
    <w:rsid w:val="0055309F"/>
    <w:rsid w:val="005531E2"/>
    <w:rsid w:val="005545D2"/>
    <w:rsid w:val="005548D3"/>
    <w:rsid w:val="00554A53"/>
    <w:rsid w:val="00554AD4"/>
    <w:rsid w:val="00555020"/>
    <w:rsid w:val="005556CC"/>
    <w:rsid w:val="00555D5B"/>
    <w:rsid w:val="00556687"/>
    <w:rsid w:val="00556C04"/>
    <w:rsid w:val="00557080"/>
    <w:rsid w:val="00557562"/>
    <w:rsid w:val="005575A5"/>
    <w:rsid w:val="0055780C"/>
    <w:rsid w:val="005578A8"/>
    <w:rsid w:val="00561540"/>
    <w:rsid w:val="00561562"/>
    <w:rsid w:val="00561E11"/>
    <w:rsid w:val="00562DC5"/>
    <w:rsid w:val="0056588F"/>
    <w:rsid w:val="00565EDC"/>
    <w:rsid w:val="00567B20"/>
    <w:rsid w:val="00567C93"/>
    <w:rsid w:val="00567F82"/>
    <w:rsid w:val="005710AF"/>
    <w:rsid w:val="005712A2"/>
    <w:rsid w:val="005724C0"/>
    <w:rsid w:val="0057265D"/>
    <w:rsid w:val="00573455"/>
    <w:rsid w:val="0057397F"/>
    <w:rsid w:val="00573E5B"/>
    <w:rsid w:val="00574A69"/>
    <w:rsid w:val="00574D91"/>
    <w:rsid w:val="0057595B"/>
    <w:rsid w:val="005759F3"/>
    <w:rsid w:val="00575B96"/>
    <w:rsid w:val="005775D9"/>
    <w:rsid w:val="005777DE"/>
    <w:rsid w:val="00577E35"/>
    <w:rsid w:val="00577FB1"/>
    <w:rsid w:val="005822FB"/>
    <w:rsid w:val="005832ED"/>
    <w:rsid w:val="0058442D"/>
    <w:rsid w:val="005845B4"/>
    <w:rsid w:val="00584B97"/>
    <w:rsid w:val="00584EB8"/>
    <w:rsid w:val="005851BB"/>
    <w:rsid w:val="00585A53"/>
    <w:rsid w:val="00585CF6"/>
    <w:rsid w:val="00586280"/>
    <w:rsid w:val="0058666E"/>
    <w:rsid w:val="00586831"/>
    <w:rsid w:val="00587C31"/>
    <w:rsid w:val="00590ED8"/>
    <w:rsid w:val="00591697"/>
    <w:rsid w:val="00591B6C"/>
    <w:rsid w:val="00593A7C"/>
    <w:rsid w:val="00594185"/>
    <w:rsid w:val="00594469"/>
    <w:rsid w:val="005959FF"/>
    <w:rsid w:val="00595F77"/>
    <w:rsid w:val="00596106"/>
    <w:rsid w:val="00596790"/>
    <w:rsid w:val="00596D1D"/>
    <w:rsid w:val="005A01D1"/>
    <w:rsid w:val="005A0256"/>
    <w:rsid w:val="005A1248"/>
    <w:rsid w:val="005A1B7C"/>
    <w:rsid w:val="005A1D46"/>
    <w:rsid w:val="005A202B"/>
    <w:rsid w:val="005A21A9"/>
    <w:rsid w:val="005A2308"/>
    <w:rsid w:val="005A2930"/>
    <w:rsid w:val="005A384E"/>
    <w:rsid w:val="005A3E90"/>
    <w:rsid w:val="005A52A1"/>
    <w:rsid w:val="005A5C3E"/>
    <w:rsid w:val="005A6D1D"/>
    <w:rsid w:val="005B0778"/>
    <w:rsid w:val="005B0D55"/>
    <w:rsid w:val="005B0E88"/>
    <w:rsid w:val="005B0E98"/>
    <w:rsid w:val="005B117F"/>
    <w:rsid w:val="005B1227"/>
    <w:rsid w:val="005B1253"/>
    <w:rsid w:val="005B14E3"/>
    <w:rsid w:val="005B1959"/>
    <w:rsid w:val="005B2631"/>
    <w:rsid w:val="005B2A3D"/>
    <w:rsid w:val="005B33CA"/>
    <w:rsid w:val="005B421E"/>
    <w:rsid w:val="005B5046"/>
    <w:rsid w:val="005B54CC"/>
    <w:rsid w:val="005B5814"/>
    <w:rsid w:val="005B590F"/>
    <w:rsid w:val="005B66EE"/>
    <w:rsid w:val="005B6F63"/>
    <w:rsid w:val="005C0033"/>
    <w:rsid w:val="005C01C7"/>
    <w:rsid w:val="005C07FE"/>
    <w:rsid w:val="005C0EB7"/>
    <w:rsid w:val="005C20F0"/>
    <w:rsid w:val="005C2E55"/>
    <w:rsid w:val="005C3BD2"/>
    <w:rsid w:val="005C43ED"/>
    <w:rsid w:val="005C5958"/>
    <w:rsid w:val="005C61BD"/>
    <w:rsid w:val="005C6B44"/>
    <w:rsid w:val="005C711F"/>
    <w:rsid w:val="005C720C"/>
    <w:rsid w:val="005C7269"/>
    <w:rsid w:val="005C7272"/>
    <w:rsid w:val="005C73A9"/>
    <w:rsid w:val="005C7464"/>
    <w:rsid w:val="005C75F5"/>
    <w:rsid w:val="005C784F"/>
    <w:rsid w:val="005C7F31"/>
    <w:rsid w:val="005D0365"/>
    <w:rsid w:val="005D070B"/>
    <w:rsid w:val="005D105F"/>
    <w:rsid w:val="005D1161"/>
    <w:rsid w:val="005D193C"/>
    <w:rsid w:val="005D1F9E"/>
    <w:rsid w:val="005D246D"/>
    <w:rsid w:val="005D2B0A"/>
    <w:rsid w:val="005D4EF1"/>
    <w:rsid w:val="005D534F"/>
    <w:rsid w:val="005D5631"/>
    <w:rsid w:val="005D5935"/>
    <w:rsid w:val="005D682A"/>
    <w:rsid w:val="005D6F8F"/>
    <w:rsid w:val="005D724F"/>
    <w:rsid w:val="005D7AC1"/>
    <w:rsid w:val="005D7E6B"/>
    <w:rsid w:val="005E08F8"/>
    <w:rsid w:val="005E0B56"/>
    <w:rsid w:val="005E0DDC"/>
    <w:rsid w:val="005E1D4B"/>
    <w:rsid w:val="005E24AE"/>
    <w:rsid w:val="005E2816"/>
    <w:rsid w:val="005E3729"/>
    <w:rsid w:val="005E4A63"/>
    <w:rsid w:val="005E4B36"/>
    <w:rsid w:val="005E6BCB"/>
    <w:rsid w:val="005E7448"/>
    <w:rsid w:val="005F00C6"/>
    <w:rsid w:val="005F023D"/>
    <w:rsid w:val="005F0442"/>
    <w:rsid w:val="005F0577"/>
    <w:rsid w:val="005F2916"/>
    <w:rsid w:val="005F395C"/>
    <w:rsid w:val="005F408A"/>
    <w:rsid w:val="005F4EF7"/>
    <w:rsid w:val="005F4F15"/>
    <w:rsid w:val="005F53CC"/>
    <w:rsid w:val="005F6D69"/>
    <w:rsid w:val="005F6F07"/>
    <w:rsid w:val="005F70A3"/>
    <w:rsid w:val="005F7324"/>
    <w:rsid w:val="005F76DD"/>
    <w:rsid w:val="005F7708"/>
    <w:rsid w:val="005F7737"/>
    <w:rsid w:val="005F78C9"/>
    <w:rsid w:val="005F7FCA"/>
    <w:rsid w:val="00600564"/>
    <w:rsid w:val="006006A3"/>
    <w:rsid w:val="00600F24"/>
    <w:rsid w:val="00602C50"/>
    <w:rsid w:val="006039C9"/>
    <w:rsid w:val="00603CCB"/>
    <w:rsid w:val="00604EFD"/>
    <w:rsid w:val="00605081"/>
    <w:rsid w:val="006058AD"/>
    <w:rsid w:val="00606677"/>
    <w:rsid w:val="006102C5"/>
    <w:rsid w:val="00610815"/>
    <w:rsid w:val="00611E4C"/>
    <w:rsid w:val="006133D0"/>
    <w:rsid w:val="00613AE9"/>
    <w:rsid w:val="00613C74"/>
    <w:rsid w:val="00613CF0"/>
    <w:rsid w:val="0061404A"/>
    <w:rsid w:val="006149E8"/>
    <w:rsid w:val="006153F5"/>
    <w:rsid w:val="00616260"/>
    <w:rsid w:val="006166FB"/>
    <w:rsid w:val="00617965"/>
    <w:rsid w:val="00617C13"/>
    <w:rsid w:val="00621F55"/>
    <w:rsid w:val="0062251B"/>
    <w:rsid w:val="006238FD"/>
    <w:rsid w:val="00623C10"/>
    <w:rsid w:val="006254F3"/>
    <w:rsid w:val="00625EBF"/>
    <w:rsid w:val="00625ED9"/>
    <w:rsid w:val="00626451"/>
    <w:rsid w:val="00626E24"/>
    <w:rsid w:val="0062731C"/>
    <w:rsid w:val="006273BD"/>
    <w:rsid w:val="00627F19"/>
    <w:rsid w:val="00627FF0"/>
    <w:rsid w:val="00630D0D"/>
    <w:rsid w:val="006314BC"/>
    <w:rsid w:val="00631D2C"/>
    <w:rsid w:val="00631EF6"/>
    <w:rsid w:val="00632AC5"/>
    <w:rsid w:val="00632B37"/>
    <w:rsid w:val="00632DFF"/>
    <w:rsid w:val="00633231"/>
    <w:rsid w:val="00633CE4"/>
    <w:rsid w:val="00634B11"/>
    <w:rsid w:val="0063507E"/>
    <w:rsid w:val="0063591C"/>
    <w:rsid w:val="00635D50"/>
    <w:rsid w:val="00636636"/>
    <w:rsid w:val="0063708A"/>
    <w:rsid w:val="00637394"/>
    <w:rsid w:val="00640EC1"/>
    <w:rsid w:val="006428F9"/>
    <w:rsid w:val="00643083"/>
    <w:rsid w:val="00643A8B"/>
    <w:rsid w:val="0064404E"/>
    <w:rsid w:val="006448CF"/>
    <w:rsid w:val="00644F8C"/>
    <w:rsid w:val="0064703D"/>
    <w:rsid w:val="00647713"/>
    <w:rsid w:val="00647922"/>
    <w:rsid w:val="006501A1"/>
    <w:rsid w:val="006502D1"/>
    <w:rsid w:val="0065191C"/>
    <w:rsid w:val="00652263"/>
    <w:rsid w:val="006524C0"/>
    <w:rsid w:val="006526A2"/>
    <w:rsid w:val="00653BE6"/>
    <w:rsid w:val="00653BFA"/>
    <w:rsid w:val="00653D9D"/>
    <w:rsid w:val="0065427F"/>
    <w:rsid w:val="00654D4A"/>
    <w:rsid w:val="00655522"/>
    <w:rsid w:val="006555E0"/>
    <w:rsid w:val="00656235"/>
    <w:rsid w:val="006567F5"/>
    <w:rsid w:val="00657054"/>
    <w:rsid w:val="00657692"/>
    <w:rsid w:val="00657B8F"/>
    <w:rsid w:val="00657DE3"/>
    <w:rsid w:val="006603ED"/>
    <w:rsid w:val="00660857"/>
    <w:rsid w:val="0066185B"/>
    <w:rsid w:val="00661EC3"/>
    <w:rsid w:val="00663035"/>
    <w:rsid w:val="006666D3"/>
    <w:rsid w:val="006668C8"/>
    <w:rsid w:val="00666927"/>
    <w:rsid w:val="00666D73"/>
    <w:rsid w:val="006670B6"/>
    <w:rsid w:val="00667211"/>
    <w:rsid w:val="00667D8B"/>
    <w:rsid w:val="0067071C"/>
    <w:rsid w:val="0067079F"/>
    <w:rsid w:val="00670C25"/>
    <w:rsid w:val="006718B5"/>
    <w:rsid w:val="00672350"/>
    <w:rsid w:val="006732B7"/>
    <w:rsid w:val="00673DF2"/>
    <w:rsid w:val="00673EDD"/>
    <w:rsid w:val="00674E22"/>
    <w:rsid w:val="00674FAF"/>
    <w:rsid w:val="006752BF"/>
    <w:rsid w:val="006757DD"/>
    <w:rsid w:val="0067630F"/>
    <w:rsid w:val="00680301"/>
    <w:rsid w:val="006806BA"/>
    <w:rsid w:val="00680ADC"/>
    <w:rsid w:val="00682351"/>
    <w:rsid w:val="00682633"/>
    <w:rsid w:val="006838F7"/>
    <w:rsid w:val="00683F87"/>
    <w:rsid w:val="00684152"/>
    <w:rsid w:val="00684EC3"/>
    <w:rsid w:val="00685379"/>
    <w:rsid w:val="00685604"/>
    <w:rsid w:val="00687900"/>
    <w:rsid w:val="00687CD6"/>
    <w:rsid w:val="00690733"/>
    <w:rsid w:val="00690A01"/>
    <w:rsid w:val="00690D3B"/>
    <w:rsid w:val="00690FDB"/>
    <w:rsid w:val="006910FC"/>
    <w:rsid w:val="0069124B"/>
    <w:rsid w:val="006912CF"/>
    <w:rsid w:val="0069173C"/>
    <w:rsid w:val="0069178A"/>
    <w:rsid w:val="00691A94"/>
    <w:rsid w:val="00691C8F"/>
    <w:rsid w:val="006936B4"/>
    <w:rsid w:val="00693CE9"/>
    <w:rsid w:val="00694782"/>
    <w:rsid w:val="00694B32"/>
    <w:rsid w:val="00695CF3"/>
    <w:rsid w:val="006969D7"/>
    <w:rsid w:val="0069762E"/>
    <w:rsid w:val="006977FD"/>
    <w:rsid w:val="006A0CBB"/>
    <w:rsid w:val="006A143C"/>
    <w:rsid w:val="006A1B3F"/>
    <w:rsid w:val="006A2FAE"/>
    <w:rsid w:val="006A3E71"/>
    <w:rsid w:val="006A5162"/>
    <w:rsid w:val="006A565C"/>
    <w:rsid w:val="006A5664"/>
    <w:rsid w:val="006A56EB"/>
    <w:rsid w:val="006A5E0F"/>
    <w:rsid w:val="006A6857"/>
    <w:rsid w:val="006A6A74"/>
    <w:rsid w:val="006A71F7"/>
    <w:rsid w:val="006B08E7"/>
    <w:rsid w:val="006B118C"/>
    <w:rsid w:val="006B1200"/>
    <w:rsid w:val="006B15F5"/>
    <w:rsid w:val="006B2459"/>
    <w:rsid w:val="006B26EA"/>
    <w:rsid w:val="006B286C"/>
    <w:rsid w:val="006B2DFF"/>
    <w:rsid w:val="006B3211"/>
    <w:rsid w:val="006B34B4"/>
    <w:rsid w:val="006B35BB"/>
    <w:rsid w:val="006B4215"/>
    <w:rsid w:val="006B5203"/>
    <w:rsid w:val="006B542F"/>
    <w:rsid w:val="006B6632"/>
    <w:rsid w:val="006B6BE6"/>
    <w:rsid w:val="006B7437"/>
    <w:rsid w:val="006C0020"/>
    <w:rsid w:val="006C0074"/>
    <w:rsid w:val="006C11E5"/>
    <w:rsid w:val="006C2441"/>
    <w:rsid w:val="006C24EF"/>
    <w:rsid w:val="006C2AFE"/>
    <w:rsid w:val="006C2B70"/>
    <w:rsid w:val="006C3119"/>
    <w:rsid w:val="006C42B1"/>
    <w:rsid w:val="006C5409"/>
    <w:rsid w:val="006C5FCD"/>
    <w:rsid w:val="006C7618"/>
    <w:rsid w:val="006D032D"/>
    <w:rsid w:val="006D05FF"/>
    <w:rsid w:val="006D07E2"/>
    <w:rsid w:val="006D1EB4"/>
    <w:rsid w:val="006D2EFC"/>
    <w:rsid w:val="006D33FA"/>
    <w:rsid w:val="006D3B1A"/>
    <w:rsid w:val="006D4303"/>
    <w:rsid w:val="006D4836"/>
    <w:rsid w:val="006D5461"/>
    <w:rsid w:val="006D5E2D"/>
    <w:rsid w:val="006D5FC9"/>
    <w:rsid w:val="006D6E33"/>
    <w:rsid w:val="006D77FF"/>
    <w:rsid w:val="006D7A23"/>
    <w:rsid w:val="006D7E0E"/>
    <w:rsid w:val="006E0D4E"/>
    <w:rsid w:val="006E1DEA"/>
    <w:rsid w:val="006E1E52"/>
    <w:rsid w:val="006E2075"/>
    <w:rsid w:val="006E20E6"/>
    <w:rsid w:val="006E226A"/>
    <w:rsid w:val="006E3292"/>
    <w:rsid w:val="006E44AA"/>
    <w:rsid w:val="006E65DE"/>
    <w:rsid w:val="006E6C49"/>
    <w:rsid w:val="006F0B50"/>
    <w:rsid w:val="006F0BFB"/>
    <w:rsid w:val="006F1819"/>
    <w:rsid w:val="006F197F"/>
    <w:rsid w:val="006F1D08"/>
    <w:rsid w:val="006F24F2"/>
    <w:rsid w:val="006F2D7F"/>
    <w:rsid w:val="006F4895"/>
    <w:rsid w:val="006F4B53"/>
    <w:rsid w:val="006F4BED"/>
    <w:rsid w:val="006F52F5"/>
    <w:rsid w:val="006F59BC"/>
    <w:rsid w:val="006F6A35"/>
    <w:rsid w:val="006F765B"/>
    <w:rsid w:val="006F7D10"/>
    <w:rsid w:val="006F7E5E"/>
    <w:rsid w:val="00700BA9"/>
    <w:rsid w:val="00700DC9"/>
    <w:rsid w:val="0070112C"/>
    <w:rsid w:val="007018C9"/>
    <w:rsid w:val="0070199A"/>
    <w:rsid w:val="00701FBE"/>
    <w:rsid w:val="007028A4"/>
    <w:rsid w:val="00702AE4"/>
    <w:rsid w:val="0070309D"/>
    <w:rsid w:val="007030A2"/>
    <w:rsid w:val="00703989"/>
    <w:rsid w:val="00704544"/>
    <w:rsid w:val="007045DA"/>
    <w:rsid w:val="007048CD"/>
    <w:rsid w:val="0070554A"/>
    <w:rsid w:val="007056B8"/>
    <w:rsid w:val="0070698B"/>
    <w:rsid w:val="00706DBD"/>
    <w:rsid w:val="007079E5"/>
    <w:rsid w:val="00707A48"/>
    <w:rsid w:val="00707E0B"/>
    <w:rsid w:val="00711480"/>
    <w:rsid w:val="00711ACF"/>
    <w:rsid w:val="00711B78"/>
    <w:rsid w:val="00711F87"/>
    <w:rsid w:val="00712165"/>
    <w:rsid w:val="0071296C"/>
    <w:rsid w:val="00712C58"/>
    <w:rsid w:val="007138BB"/>
    <w:rsid w:val="00713F72"/>
    <w:rsid w:val="007159DB"/>
    <w:rsid w:val="00715B27"/>
    <w:rsid w:val="0071696A"/>
    <w:rsid w:val="007172A2"/>
    <w:rsid w:val="00721D77"/>
    <w:rsid w:val="00721F43"/>
    <w:rsid w:val="007227C9"/>
    <w:rsid w:val="007227E8"/>
    <w:rsid w:val="00722942"/>
    <w:rsid w:val="0072400E"/>
    <w:rsid w:val="0072404C"/>
    <w:rsid w:val="00724632"/>
    <w:rsid w:val="00724B47"/>
    <w:rsid w:val="00724B67"/>
    <w:rsid w:val="007254B7"/>
    <w:rsid w:val="00725A22"/>
    <w:rsid w:val="007263C9"/>
    <w:rsid w:val="007269CF"/>
    <w:rsid w:val="0072702B"/>
    <w:rsid w:val="007277EF"/>
    <w:rsid w:val="007278D4"/>
    <w:rsid w:val="0072798B"/>
    <w:rsid w:val="007303C2"/>
    <w:rsid w:val="00732C87"/>
    <w:rsid w:val="0073358A"/>
    <w:rsid w:val="00735E77"/>
    <w:rsid w:val="00736B5D"/>
    <w:rsid w:val="007371A5"/>
    <w:rsid w:val="00737C5E"/>
    <w:rsid w:val="00737DAB"/>
    <w:rsid w:val="00737FB7"/>
    <w:rsid w:val="007408DA"/>
    <w:rsid w:val="00740C2A"/>
    <w:rsid w:val="00741693"/>
    <w:rsid w:val="00741E1E"/>
    <w:rsid w:val="0074284C"/>
    <w:rsid w:val="00742C9B"/>
    <w:rsid w:val="0074471D"/>
    <w:rsid w:val="00744B8C"/>
    <w:rsid w:val="00744C2D"/>
    <w:rsid w:val="00744E11"/>
    <w:rsid w:val="00745295"/>
    <w:rsid w:val="0074605D"/>
    <w:rsid w:val="00746188"/>
    <w:rsid w:val="00746306"/>
    <w:rsid w:val="007464D2"/>
    <w:rsid w:val="0074704C"/>
    <w:rsid w:val="007470CC"/>
    <w:rsid w:val="00747455"/>
    <w:rsid w:val="00747E8C"/>
    <w:rsid w:val="00750EEF"/>
    <w:rsid w:val="0075160F"/>
    <w:rsid w:val="00751EA3"/>
    <w:rsid w:val="007523F8"/>
    <w:rsid w:val="007529AC"/>
    <w:rsid w:val="007529F0"/>
    <w:rsid w:val="007534AE"/>
    <w:rsid w:val="0075357E"/>
    <w:rsid w:val="00753695"/>
    <w:rsid w:val="00753953"/>
    <w:rsid w:val="00753ABE"/>
    <w:rsid w:val="007546CE"/>
    <w:rsid w:val="00754D40"/>
    <w:rsid w:val="00755584"/>
    <w:rsid w:val="00755B72"/>
    <w:rsid w:val="00755CF7"/>
    <w:rsid w:val="00756C45"/>
    <w:rsid w:val="00760DFD"/>
    <w:rsid w:val="00760F74"/>
    <w:rsid w:val="00761011"/>
    <w:rsid w:val="00761850"/>
    <w:rsid w:val="00761DE7"/>
    <w:rsid w:val="0076262C"/>
    <w:rsid w:val="007628CC"/>
    <w:rsid w:val="00762E7F"/>
    <w:rsid w:val="00762EBC"/>
    <w:rsid w:val="0076434A"/>
    <w:rsid w:val="007648B8"/>
    <w:rsid w:val="007656EF"/>
    <w:rsid w:val="00766865"/>
    <w:rsid w:val="00766881"/>
    <w:rsid w:val="007726F9"/>
    <w:rsid w:val="00773B44"/>
    <w:rsid w:val="00774B58"/>
    <w:rsid w:val="00774C34"/>
    <w:rsid w:val="007754C3"/>
    <w:rsid w:val="00775C3E"/>
    <w:rsid w:val="00776113"/>
    <w:rsid w:val="00776CB6"/>
    <w:rsid w:val="00777678"/>
    <w:rsid w:val="0077781E"/>
    <w:rsid w:val="0078080F"/>
    <w:rsid w:val="00781023"/>
    <w:rsid w:val="007820ED"/>
    <w:rsid w:val="00782401"/>
    <w:rsid w:val="00783C0F"/>
    <w:rsid w:val="00783D07"/>
    <w:rsid w:val="00784C8B"/>
    <w:rsid w:val="00786C33"/>
    <w:rsid w:val="007874D1"/>
    <w:rsid w:val="007875D5"/>
    <w:rsid w:val="00787D78"/>
    <w:rsid w:val="00790703"/>
    <w:rsid w:val="00790C5B"/>
    <w:rsid w:val="00790CEE"/>
    <w:rsid w:val="00790DA4"/>
    <w:rsid w:val="00791727"/>
    <w:rsid w:val="00792191"/>
    <w:rsid w:val="00792357"/>
    <w:rsid w:val="0079318C"/>
    <w:rsid w:val="00793523"/>
    <w:rsid w:val="00793DC1"/>
    <w:rsid w:val="00793F8B"/>
    <w:rsid w:val="007944A4"/>
    <w:rsid w:val="00794535"/>
    <w:rsid w:val="007947F9"/>
    <w:rsid w:val="007953C8"/>
    <w:rsid w:val="007957CC"/>
    <w:rsid w:val="00795CE3"/>
    <w:rsid w:val="007963AE"/>
    <w:rsid w:val="007965C2"/>
    <w:rsid w:val="007968FB"/>
    <w:rsid w:val="00796E43"/>
    <w:rsid w:val="00796F44"/>
    <w:rsid w:val="0079700A"/>
    <w:rsid w:val="007974B4"/>
    <w:rsid w:val="00797B7E"/>
    <w:rsid w:val="00797C57"/>
    <w:rsid w:val="007A0E74"/>
    <w:rsid w:val="007A138E"/>
    <w:rsid w:val="007A18D7"/>
    <w:rsid w:val="007A20FD"/>
    <w:rsid w:val="007A2BB3"/>
    <w:rsid w:val="007A2D84"/>
    <w:rsid w:val="007A2F9A"/>
    <w:rsid w:val="007A380F"/>
    <w:rsid w:val="007A4055"/>
    <w:rsid w:val="007A4D4E"/>
    <w:rsid w:val="007A5904"/>
    <w:rsid w:val="007A5C1E"/>
    <w:rsid w:val="007A5CC9"/>
    <w:rsid w:val="007A6868"/>
    <w:rsid w:val="007A6B3B"/>
    <w:rsid w:val="007A6CD4"/>
    <w:rsid w:val="007A7C19"/>
    <w:rsid w:val="007B0218"/>
    <w:rsid w:val="007B1C45"/>
    <w:rsid w:val="007B2444"/>
    <w:rsid w:val="007B2E12"/>
    <w:rsid w:val="007B6021"/>
    <w:rsid w:val="007B6E63"/>
    <w:rsid w:val="007B700A"/>
    <w:rsid w:val="007C1804"/>
    <w:rsid w:val="007C1B4E"/>
    <w:rsid w:val="007C1DC2"/>
    <w:rsid w:val="007C2BA1"/>
    <w:rsid w:val="007C4732"/>
    <w:rsid w:val="007C4A39"/>
    <w:rsid w:val="007C51C5"/>
    <w:rsid w:val="007C588B"/>
    <w:rsid w:val="007C5D21"/>
    <w:rsid w:val="007C742E"/>
    <w:rsid w:val="007D199E"/>
    <w:rsid w:val="007D21A9"/>
    <w:rsid w:val="007D26F8"/>
    <w:rsid w:val="007D2EB2"/>
    <w:rsid w:val="007D357E"/>
    <w:rsid w:val="007D3A06"/>
    <w:rsid w:val="007D3E79"/>
    <w:rsid w:val="007D40DF"/>
    <w:rsid w:val="007D4622"/>
    <w:rsid w:val="007D49E1"/>
    <w:rsid w:val="007D4A9C"/>
    <w:rsid w:val="007D6E03"/>
    <w:rsid w:val="007E01CF"/>
    <w:rsid w:val="007E1810"/>
    <w:rsid w:val="007E1827"/>
    <w:rsid w:val="007E2824"/>
    <w:rsid w:val="007E2ECA"/>
    <w:rsid w:val="007E3782"/>
    <w:rsid w:val="007E38C0"/>
    <w:rsid w:val="007E3BE9"/>
    <w:rsid w:val="007E4135"/>
    <w:rsid w:val="007E5253"/>
    <w:rsid w:val="007E59B0"/>
    <w:rsid w:val="007E6D75"/>
    <w:rsid w:val="007E75CF"/>
    <w:rsid w:val="007F0403"/>
    <w:rsid w:val="007F0552"/>
    <w:rsid w:val="007F129A"/>
    <w:rsid w:val="007F12ED"/>
    <w:rsid w:val="007F169B"/>
    <w:rsid w:val="007F1F2B"/>
    <w:rsid w:val="007F288F"/>
    <w:rsid w:val="007F2BF4"/>
    <w:rsid w:val="007F2CB1"/>
    <w:rsid w:val="007F2F39"/>
    <w:rsid w:val="007F3369"/>
    <w:rsid w:val="007F34EE"/>
    <w:rsid w:val="007F4FDF"/>
    <w:rsid w:val="007F5147"/>
    <w:rsid w:val="007F5258"/>
    <w:rsid w:val="007F5B50"/>
    <w:rsid w:val="007F5C01"/>
    <w:rsid w:val="007F6154"/>
    <w:rsid w:val="008000AF"/>
    <w:rsid w:val="00800FF1"/>
    <w:rsid w:val="0080238D"/>
    <w:rsid w:val="008023F4"/>
    <w:rsid w:val="00803621"/>
    <w:rsid w:val="00803B5E"/>
    <w:rsid w:val="008060C6"/>
    <w:rsid w:val="00806470"/>
    <w:rsid w:val="0080687C"/>
    <w:rsid w:val="008078C2"/>
    <w:rsid w:val="00807B7F"/>
    <w:rsid w:val="00807D92"/>
    <w:rsid w:val="00810293"/>
    <w:rsid w:val="00810AC1"/>
    <w:rsid w:val="00811621"/>
    <w:rsid w:val="0081172C"/>
    <w:rsid w:val="00816302"/>
    <w:rsid w:val="008167F9"/>
    <w:rsid w:val="00816CD9"/>
    <w:rsid w:val="008200CD"/>
    <w:rsid w:val="0082031B"/>
    <w:rsid w:val="00820924"/>
    <w:rsid w:val="00820D16"/>
    <w:rsid w:val="00822832"/>
    <w:rsid w:val="00822A1D"/>
    <w:rsid w:val="008232D5"/>
    <w:rsid w:val="00823D84"/>
    <w:rsid w:val="00824C13"/>
    <w:rsid w:val="00825664"/>
    <w:rsid w:val="00830501"/>
    <w:rsid w:val="00831243"/>
    <w:rsid w:val="0083144A"/>
    <w:rsid w:val="00831919"/>
    <w:rsid w:val="008323FA"/>
    <w:rsid w:val="00832A6E"/>
    <w:rsid w:val="00833396"/>
    <w:rsid w:val="00833578"/>
    <w:rsid w:val="0083383B"/>
    <w:rsid w:val="00833AF0"/>
    <w:rsid w:val="00834D80"/>
    <w:rsid w:val="00834E68"/>
    <w:rsid w:val="00834FB9"/>
    <w:rsid w:val="00835EA0"/>
    <w:rsid w:val="00836875"/>
    <w:rsid w:val="00836C57"/>
    <w:rsid w:val="00836F04"/>
    <w:rsid w:val="00841666"/>
    <w:rsid w:val="00841BBB"/>
    <w:rsid w:val="008432A1"/>
    <w:rsid w:val="00843374"/>
    <w:rsid w:val="0084562F"/>
    <w:rsid w:val="0084666A"/>
    <w:rsid w:val="00847B31"/>
    <w:rsid w:val="00847EF8"/>
    <w:rsid w:val="00851444"/>
    <w:rsid w:val="008519CA"/>
    <w:rsid w:val="00851C55"/>
    <w:rsid w:val="00853602"/>
    <w:rsid w:val="00853CD4"/>
    <w:rsid w:val="00853DA6"/>
    <w:rsid w:val="00853DAA"/>
    <w:rsid w:val="0085453F"/>
    <w:rsid w:val="00854B34"/>
    <w:rsid w:val="0085552A"/>
    <w:rsid w:val="00855C31"/>
    <w:rsid w:val="008569FA"/>
    <w:rsid w:val="0086113B"/>
    <w:rsid w:val="00861A94"/>
    <w:rsid w:val="008629D8"/>
    <w:rsid w:val="00862AF2"/>
    <w:rsid w:val="008630A7"/>
    <w:rsid w:val="00863626"/>
    <w:rsid w:val="0086389D"/>
    <w:rsid w:val="00863F9C"/>
    <w:rsid w:val="008644A1"/>
    <w:rsid w:val="008645BF"/>
    <w:rsid w:val="00864B68"/>
    <w:rsid w:val="00864DBE"/>
    <w:rsid w:val="00865F20"/>
    <w:rsid w:val="008666D8"/>
    <w:rsid w:val="00866B59"/>
    <w:rsid w:val="008673CC"/>
    <w:rsid w:val="008676E7"/>
    <w:rsid w:val="0086786B"/>
    <w:rsid w:val="0086798E"/>
    <w:rsid w:val="0086799C"/>
    <w:rsid w:val="0087095D"/>
    <w:rsid w:val="00870BD4"/>
    <w:rsid w:val="00871D0A"/>
    <w:rsid w:val="0087272F"/>
    <w:rsid w:val="00872E08"/>
    <w:rsid w:val="008732D7"/>
    <w:rsid w:val="0087356D"/>
    <w:rsid w:val="00874850"/>
    <w:rsid w:val="00874F52"/>
    <w:rsid w:val="008753D4"/>
    <w:rsid w:val="008755FD"/>
    <w:rsid w:val="00877A2A"/>
    <w:rsid w:val="00877A84"/>
    <w:rsid w:val="00880B8E"/>
    <w:rsid w:val="00880C39"/>
    <w:rsid w:val="00881660"/>
    <w:rsid w:val="00881D8A"/>
    <w:rsid w:val="00882245"/>
    <w:rsid w:val="008843CB"/>
    <w:rsid w:val="008863A6"/>
    <w:rsid w:val="008864F5"/>
    <w:rsid w:val="00887369"/>
    <w:rsid w:val="00887D90"/>
    <w:rsid w:val="008903A3"/>
    <w:rsid w:val="00893F6C"/>
    <w:rsid w:val="0089453D"/>
    <w:rsid w:val="00894668"/>
    <w:rsid w:val="00894A13"/>
    <w:rsid w:val="008952F2"/>
    <w:rsid w:val="00895D62"/>
    <w:rsid w:val="00896137"/>
    <w:rsid w:val="00896B2E"/>
    <w:rsid w:val="00896D42"/>
    <w:rsid w:val="00897390"/>
    <w:rsid w:val="00897FEF"/>
    <w:rsid w:val="008A0ED1"/>
    <w:rsid w:val="008A2379"/>
    <w:rsid w:val="008A311B"/>
    <w:rsid w:val="008A3146"/>
    <w:rsid w:val="008A3F8D"/>
    <w:rsid w:val="008A47E2"/>
    <w:rsid w:val="008A4CF8"/>
    <w:rsid w:val="008A5024"/>
    <w:rsid w:val="008A5894"/>
    <w:rsid w:val="008A65CA"/>
    <w:rsid w:val="008A7115"/>
    <w:rsid w:val="008A7422"/>
    <w:rsid w:val="008B0254"/>
    <w:rsid w:val="008B1049"/>
    <w:rsid w:val="008B19F1"/>
    <w:rsid w:val="008B2A37"/>
    <w:rsid w:val="008B2E10"/>
    <w:rsid w:val="008B347B"/>
    <w:rsid w:val="008B401C"/>
    <w:rsid w:val="008B403E"/>
    <w:rsid w:val="008B40B7"/>
    <w:rsid w:val="008B45B7"/>
    <w:rsid w:val="008B4912"/>
    <w:rsid w:val="008B7526"/>
    <w:rsid w:val="008B778E"/>
    <w:rsid w:val="008C0D9A"/>
    <w:rsid w:val="008C21A0"/>
    <w:rsid w:val="008C231C"/>
    <w:rsid w:val="008C24F9"/>
    <w:rsid w:val="008C260D"/>
    <w:rsid w:val="008C2B03"/>
    <w:rsid w:val="008C3132"/>
    <w:rsid w:val="008C3B6B"/>
    <w:rsid w:val="008C44A8"/>
    <w:rsid w:val="008C71F0"/>
    <w:rsid w:val="008C7C91"/>
    <w:rsid w:val="008D06D9"/>
    <w:rsid w:val="008D0707"/>
    <w:rsid w:val="008D0F67"/>
    <w:rsid w:val="008D107F"/>
    <w:rsid w:val="008D11AA"/>
    <w:rsid w:val="008D13A9"/>
    <w:rsid w:val="008D148E"/>
    <w:rsid w:val="008D153B"/>
    <w:rsid w:val="008D1571"/>
    <w:rsid w:val="008D2313"/>
    <w:rsid w:val="008D2B26"/>
    <w:rsid w:val="008D2CCE"/>
    <w:rsid w:val="008D329D"/>
    <w:rsid w:val="008D4436"/>
    <w:rsid w:val="008D6D77"/>
    <w:rsid w:val="008D774B"/>
    <w:rsid w:val="008D7B67"/>
    <w:rsid w:val="008D7B6A"/>
    <w:rsid w:val="008E0CB5"/>
    <w:rsid w:val="008E10E7"/>
    <w:rsid w:val="008E10F0"/>
    <w:rsid w:val="008E13FE"/>
    <w:rsid w:val="008E1A15"/>
    <w:rsid w:val="008E2263"/>
    <w:rsid w:val="008E238B"/>
    <w:rsid w:val="008E267C"/>
    <w:rsid w:val="008E2875"/>
    <w:rsid w:val="008E2FE9"/>
    <w:rsid w:val="008E42FC"/>
    <w:rsid w:val="008E4D63"/>
    <w:rsid w:val="008E58FD"/>
    <w:rsid w:val="008E5A28"/>
    <w:rsid w:val="008E5C07"/>
    <w:rsid w:val="008E605C"/>
    <w:rsid w:val="008E6158"/>
    <w:rsid w:val="008E635F"/>
    <w:rsid w:val="008E65DE"/>
    <w:rsid w:val="008E66E0"/>
    <w:rsid w:val="008E7798"/>
    <w:rsid w:val="008F0092"/>
    <w:rsid w:val="008F012B"/>
    <w:rsid w:val="008F099C"/>
    <w:rsid w:val="008F0D19"/>
    <w:rsid w:val="008F130B"/>
    <w:rsid w:val="008F16CC"/>
    <w:rsid w:val="008F1F76"/>
    <w:rsid w:val="008F296A"/>
    <w:rsid w:val="008F37E9"/>
    <w:rsid w:val="008F3BC6"/>
    <w:rsid w:val="008F41E7"/>
    <w:rsid w:val="008F4800"/>
    <w:rsid w:val="008F4A9C"/>
    <w:rsid w:val="008F56AE"/>
    <w:rsid w:val="008F6315"/>
    <w:rsid w:val="008F6438"/>
    <w:rsid w:val="008F64F3"/>
    <w:rsid w:val="008F65F7"/>
    <w:rsid w:val="008F6EE7"/>
    <w:rsid w:val="008F732A"/>
    <w:rsid w:val="008F778E"/>
    <w:rsid w:val="008F7BCB"/>
    <w:rsid w:val="009002C5"/>
    <w:rsid w:val="00902198"/>
    <w:rsid w:val="0090296D"/>
    <w:rsid w:val="00902B84"/>
    <w:rsid w:val="00903790"/>
    <w:rsid w:val="00903DDA"/>
    <w:rsid w:val="00903F2B"/>
    <w:rsid w:val="00904147"/>
    <w:rsid w:val="00905168"/>
    <w:rsid w:val="00905AFF"/>
    <w:rsid w:val="00905C12"/>
    <w:rsid w:val="00906181"/>
    <w:rsid w:val="0090636E"/>
    <w:rsid w:val="00906423"/>
    <w:rsid w:val="009072D8"/>
    <w:rsid w:val="0090789A"/>
    <w:rsid w:val="00910048"/>
    <w:rsid w:val="00910238"/>
    <w:rsid w:val="009104DA"/>
    <w:rsid w:val="009105DE"/>
    <w:rsid w:val="00910CEA"/>
    <w:rsid w:val="00910D4D"/>
    <w:rsid w:val="00911992"/>
    <w:rsid w:val="00911A64"/>
    <w:rsid w:val="00912F82"/>
    <w:rsid w:val="00913A1E"/>
    <w:rsid w:val="00914407"/>
    <w:rsid w:val="009155C8"/>
    <w:rsid w:val="00915ABA"/>
    <w:rsid w:val="00916310"/>
    <w:rsid w:val="00917534"/>
    <w:rsid w:val="0092008D"/>
    <w:rsid w:val="009201DD"/>
    <w:rsid w:val="00921C39"/>
    <w:rsid w:val="0092242B"/>
    <w:rsid w:val="00922598"/>
    <w:rsid w:val="009228AD"/>
    <w:rsid w:val="00923433"/>
    <w:rsid w:val="0092353E"/>
    <w:rsid w:val="00924905"/>
    <w:rsid w:val="00927793"/>
    <w:rsid w:val="00927E57"/>
    <w:rsid w:val="009304F8"/>
    <w:rsid w:val="00931618"/>
    <w:rsid w:val="009323C7"/>
    <w:rsid w:val="009354C9"/>
    <w:rsid w:val="00935AEC"/>
    <w:rsid w:val="00935EB9"/>
    <w:rsid w:val="00937B51"/>
    <w:rsid w:val="00937CCE"/>
    <w:rsid w:val="00937D19"/>
    <w:rsid w:val="00940352"/>
    <w:rsid w:val="00940C43"/>
    <w:rsid w:val="0094139C"/>
    <w:rsid w:val="00941757"/>
    <w:rsid w:val="00942203"/>
    <w:rsid w:val="009422C9"/>
    <w:rsid w:val="00942469"/>
    <w:rsid w:val="00942651"/>
    <w:rsid w:val="009428E5"/>
    <w:rsid w:val="009438BB"/>
    <w:rsid w:val="00943F63"/>
    <w:rsid w:val="00943F66"/>
    <w:rsid w:val="0094553F"/>
    <w:rsid w:val="0094561C"/>
    <w:rsid w:val="00946803"/>
    <w:rsid w:val="00946897"/>
    <w:rsid w:val="009475FE"/>
    <w:rsid w:val="00950728"/>
    <w:rsid w:val="00950843"/>
    <w:rsid w:val="00950E84"/>
    <w:rsid w:val="00951538"/>
    <w:rsid w:val="0095192F"/>
    <w:rsid w:val="0095235D"/>
    <w:rsid w:val="00952473"/>
    <w:rsid w:val="0095453A"/>
    <w:rsid w:val="00956AE8"/>
    <w:rsid w:val="00956B7D"/>
    <w:rsid w:val="00956CE7"/>
    <w:rsid w:val="00960B56"/>
    <w:rsid w:val="009614BE"/>
    <w:rsid w:val="00961E14"/>
    <w:rsid w:val="009635D7"/>
    <w:rsid w:val="0096382B"/>
    <w:rsid w:val="0096395F"/>
    <w:rsid w:val="00964F72"/>
    <w:rsid w:val="009667AC"/>
    <w:rsid w:val="00966902"/>
    <w:rsid w:val="00966FB8"/>
    <w:rsid w:val="00967B92"/>
    <w:rsid w:val="00967DDD"/>
    <w:rsid w:val="00967FE0"/>
    <w:rsid w:val="0097071D"/>
    <w:rsid w:val="0097084F"/>
    <w:rsid w:val="00970AB8"/>
    <w:rsid w:val="00970C3F"/>
    <w:rsid w:val="00971129"/>
    <w:rsid w:val="0097316E"/>
    <w:rsid w:val="00973788"/>
    <w:rsid w:val="00973CA5"/>
    <w:rsid w:val="00974192"/>
    <w:rsid w:val="009746A3"/>
    <w:rsid w:val="009746AB"/>
    <w:rsid w:val="00974C6A"/>
    <w:rsid w:val="00974D1C"/>
    <w:rsid w:val="00975CFE"/>
    <w:rsid w:val="00975DDC"/>
    <w:rsid w:val="009769BD"/>
    <w:rsid w:val="00976F90"/>
    <w:rsid w:val="00977005"/>
    <w:rsid w:val="0098084A"/>
    <w:rsid w:val="00980860"/>
    <w:rsid w:val="009809D3"/>
    <w:rsid w:val="00980B7D"/>
    <w:rsid w:val="0098145B"/>
    <w:rsid w:val="00982857"/>
    <w:rsid w:val="0098420D"/>
    <w:rsid w:val="00984321"/>
    <w:rsid w:val="009843FA"/>
    <w:rsid w:val="00984463"/>
    <w:rsid w:val="00984D48"/>
    <w:rsid w:val="00984FDC"/>
    <w:rsid w:val="00985538"/>
    <w:rsid w:val="009861DD"/>
    <w:rsid w:val="0098748C"/>
    <w:rsid w:val="00987913"/>
    <w:rsid w:val="00987C9A"/>
    <w:rsid w:val="00987F44"/>
    <w:rsid w:val="00987FCC"/>
    <w:rsid w:val="00990820"/>
    <w:rsid w:val="0099099C"/>
    <w:rsid w:val="00991390"/>
    <w:rsid w:val="0099149A"/>
    <w:rsid w:val="0099164F"/>
    <w:rsid w:val="00992066"/>
    <w:rsid w:val="0099209A"/>
    <w:rsid w:val="009924D3"/>
    <w:rsid w:val="009929AB"/>
    <w:rsid w:val="00992EED"/>
    <w:rsid w:val="0099332E"/>
    <w:rsid w:val="0099333E"/>
    <w:rsid w:val="00993E89"/>
    <w:rsid w:val="009953EB"/>
    <w:rsid w:val="009954FA"/>
    <w:rsid w:val="00996E47"/>
    <w:rsid w:val="0099702D"/>
    <w:rsid w:val="009971CD"/>
    <w:rsid w:val="009A022E"/>
    <w:rsid w:val="009A0A0D"/>
    <w:rsid w:val="009A1129"/>
    <w:rsid w:val="009A1718"/>
    <w:rsid w:val="009A1815"/>
    <w:rsid w:val="009A1F08"/>
    <w:rsid w:val="009A212E"/>
    <w:rsid w:val="009A3179"/>
    <w:rsid w:val="009A3DA4"/>
    <w:rsid w:val="009A4099"/>
    <w:rsid w:val="009A43F7"/>
    <w:rsid w:val="009A4A68"/>
    <w:rsid w:val="009A733C"/>
    <w:rsid w:val="009A7981"/>
    <w:rsid w:val="009A7A57"/>
    <w:rsid w:val="009B002C"/>
    <w:rsid w:val="009B0554"/>
    <w:rsid w:val="009B0663"/>
    <w:rsid w:val="009B07AF"/>
    <w:rsid w:val="009B08B8"/>
    <w:rsid w:val="009B1AFB"/>
    <w:rsid w:val="009B229D"/>
    <w:rsid w:val="009B2A70"/>
    <w:rsid w:val="009B4A9C"/>
    <w:rsid w:val="009B4DA9"/>
    <w:rsid w:val="009B51C3"/>
    <w:rsid w:val="009B54E6"/>
    <w:rsid w:val="009B5CC2"/>
    <w:rsid w:val="009B5CD0"/>
    <w:rsid w:val="009B7021"/>
    <w:rsid w:val="009B70AF"/>
    <w:rsid w:val="009B71C4"/>
    <w:rsid w:val="009B7771"/>
    <w:rsid w:val="009C0E45"/>
    <w:rsid w:val="009C1D01"/>
    <w:rsid w:val="009C2705"/>
    <w:rsid w:val="009C323F"/>
    <w:rsid w:val="009C452A"/>
    <w:rsid w:val="009C49D1"/>
    <w:rsid w:val="009C4C87"/>
    <w:rsid w:val="009C4CB2"/>
    <w:rsid w:val="009C4F5B"/>
    <w:rsid w:val="009C4FCF"/>
    <w:rsid w:val="009C5142"/>
    <w:rsid w:val="009C6D20"/>
    <w:rsid w:val="009C73DF"/>
    <w:rsid w:val="009C73E1"/>
    <w:rsid w:val="009C7476"/>
    <w:rsid w:val="009D0C60"/>
    <w:rsid w:val="009D195D"/>
    <w:rsid w:val="009D1B7D"/>
    <w:rsid w:val="009D26AC"/>
    <w:rsid w:val="009D2BBE"/>
    <w:rsid w:val="009D3257"/>
    <w:rsid w:val="009D32C2"/>
    <w:rsid w:val="009D45B6"/>
    <w:rsid w:val="009D5C15"/>
    <w:rsid w:val="009D5C55"/>
    <w:rsid w:val="009D714B"/>
    <w:rsid w:val="009D74AB"/>
    <w:rsid w:val="009D77E4"/>
    <w:rsid w:val="009E1AC5"/>
    <w:rsid w:val="009E2362"/>
    <w:rsid w:val="009E2584"/>
    <w:rsid w:val="009E49C7"/>
    <w:rsid w:val="009E4A4D"/>
    <w:rsid w:val="009E4CEE"/>
    <w:rsid w:val="009E506E"/>
    <w:rsid w:val="009E5305"/>
    <w:rsid w:val="009E591A"/>
    <w:rsid w:val="009E5F43"/>
    <w:rsid w:val="009E6A8F"/>
    <w:rsid w:val="009E6BD0"/>
    <w:rsid w:val="009E7732"/>
    <w:rsid w:val="009E7D7F"/>
    <w:rsid w:val="009F2618"/>
    <w:rsid w:val="009F2E52"/>
    <w:rsid w:val="009F3A4C"/>
    <w:rsid w:val="009F53B0"/>
    <w:rsid w:val="009F5ADF"/>
    <w:rsid w:val="009F764E"/>
    <w:rsid w:val="00A00003"/>
    <w:rsid w:val="00A00A2B"/>
    <w:rsid w:val="00A00F7E"/>
    <w:rsid w:val="00A01F68"/>
    <w:rsid w:val="00A020EE"/>
    <w:rsid w:val="00A031F7"/>
    <w:rsid w:val="00A0324C"/>
    <w:rsid w:val="00A03541"/>
    <w:rsid w:val="00A03B87"/>
    <w:rsid w:val="00A03E85"/>
    <w:rsid w:val="00A04C05"/>
    <w:rsid w:val="00A05B69"/>
    <w:rsid w:val="00A05CBA"/>
    <w:rsid w:val="00A066D7"/>
    <w:rsid w:val="00A07A7E"/>
    <w:rsid w:val="00A07B70"/>
    <w:rsid w:val="00A07D16"/>
    <w:rsid w:val="00A1011F"/>
    <w:rsid w:val="00A115B5"/>
    <w:rsid w:val="00A127EE"/>
    <w:rsid w:val="00A133A7"/>
    <w:rsid w:val="00A13725"/>
    <w:rsid w:val="00A13C73"/>
    <w:rsid w:val="00A1405F"/>
    <w:rsid w:val="00A142DB"/>
    <w:rsid w:val="00A142F1"/>
    <w:rsid w:val="00A14563"/>
    <w:rsid w:val="00A14B94"/>
    <w:rsid w:val="00A15529"/>
    <w:rsid w:val="00A1560F"/>
    <w:rsid w:val="00A15E7F"/>
    <w:rsid w:val="00A15F14"/>
    <w:rsid w:val="00A16334"/>
    <w:rsid w:val="00A1705B"/>
    <w:rsid w:val="00A20EB3"/>
    <w:rsid w:val="00A220FB"/>
    <w:rsid w:val="00A22436"/>
    <w:rsid w:val="00A224FF"/>
    <w:rsid w:val="00A22CC9"/>
    <w:rsid w:val="00A23074"/>
    <w:rsid w:val="00A2376E"/>
    <w:rsid w:val="00A24100"/>
    <w:rsid w:val="00A25961"/>
    <w:rsid w:val="00A26D46"/>
    <w:rsid w:val="00A27B13"/>
    <w:rsid w:val="00A31E3F"/>
    <w:rsid w:val="00A3291F"/>
    <w:rsid w:val="00A32B1B"/>
    <w:rsid w:val="00A32D60"/>
    <w:rsid w:val="00A339ED"/>
    <w:rsid w:val="00A33DBD"/>
    <w:rsid w:val="00A342E0"/>
    <w:rsid w:val="00A3522C"/>
    <w:rsid w:val="00A354C6"/>
    <w:rsid w:val="00A35CF1"/>
    <w:rsid w:val="00A36017"/>
    <w:rsid w:val="00A373D7"/>
    <w:rsid w:val="00A37CD6"/>
    <w:rsid w:val="00A40A2C"/>
    <w:rsid w:val="00A40C71"/>
    <w:rsid w:val="00A410CC"/>
    <w:rsid w:val="00A41638"/>
    <w:rsid w:val="00A4163F"/>
    <w:rsid w:val="00A421FA"/>
    <w:rsid w:val="00A42577"/>
    <w:rsid w:val="00A4469A"/>
    <w:rsid w:val="00A44768"/>
    <w:rsid w:val="00A44B6D"/>
    <w:rsid w:val="00A469DD"/>
    <w:rsid w:val="00A47673"/>
    <w:rsid w:val="00A508B2"/>
    <w:rsid w:val="00A51304"/>
    <w:rsid w:val="00A514F8"/>
    <w:rsid w:val="00A5333E"/>
    <w:rsid w:val="00A53B57"/>
    <w:rsid w:val="00A5436B"/>
    <w:rsid w:val="00A54CC3"/>
    <w:rsid w:val="00A55B63"/>
    <w:rsid w:val="00A55C8C"/>
    <w:rsid w:val="00A56DD2"/>
    <w:rsid w:val="00A607AF"/>
    <w:rsid w:val="00A61BCF"/>
    <w:rsid w:val="00A61BE1"/>
    <w:rsid w:val="00A61E51"/>
    <w:rsid w:val="00A62249"/>
    <w:rsid w:val="00A6268F"/>
    <w:rsid w:val="00A634B0"/>
    <w:rsid w:val="00A64101"/>
    <w:rsid w:val="00A644AD"/>
    <w:rsid w:val="00A648C0"/>
    <w:rsid w:val="00A65F9E"/>
    <w:rsid w:val="00A66D52"/>
    <w:rsid w:val="00A70648"/>
    <w:rsid w:val="00A708BC"/>
    <w:rsid w:val="00A71485"/>
    <w:rsid w:val="00A72A4C"/>
    <w:rsid w:val="00A74DFA"/>
    <w:rsid w:val="00A769D5"/>
    <w:rsid w:val="00A77067"/>
    <w:rsid w:val="00A81919"/>
    <w:rsid w:val="00A81AA3"/>
    <w:rsid w:val="00A81E7D"/>
    <w:rsid w:val="00A8234F"/>
    <w:rsid w:val="00A82BF7"/>
    <w:rsid w:val="00A8402B"/>
    <w:rsid w:val="00A84BAB"/>
    <w:rsid w:val="00A85927"/>
    <w:rsid w:val="00A85B19"/>
    <w:rsid w:val="00A86CD5"/>
    <w:rsid w:val="00A900DF"/>
    <w:rsid w:val="00A9043E"/>
    <w:rsid w:val="00A9147D"/>
    <w:rsid w:val="00A9228E"/>
    <w:rsid w:val="00A927F4"/>
    <w:rsid w:val="00A93B1D"/>
    <w:rsid w:val="00A945E6"/>
    <w:rsid w:val="00A94637"/>
    <w:rsid w:val="00A94A13"/>
    <w:rsid w:val="00A95664"/>
    <w:rsid w:val="00A96DC6"/>
    <w:rsid w:val="00A96EDD"/>
    <w:rsid w:val="00A97485"/>
    <w:rsid w:val="00A97C65"/>
    <w:rsid w:val="00AA16C8"/>
    <w:rsid w:val="00AA2485"/>
    <w:rsid w:val="00AA27D4"/>
    <w:rsid w:val="00AA33BE"/>
    <w:rsid w:val="00AA3904"/>
    <w:rsid w:val="00AA3B65"/>
    <w:rsid w:val="00AA4245"/>
    <w:rsid w:val="00AA4F87"/>
    <w:rsid w:val="00AA5111"/>
    <w:rsid w:val="00AA533F"/>
    <w:rsid w:val="00AA56CB"/>
    <w:rsid w:val="00AA599F"/>
    <w:rsid w:val="00AA6D3B"/>
    <w:rsid w:val="00AA7AA8"/>
    <w:rsid w:val="00AB0B96"/>
    <w:rsid w:val="00AB0C7E"/>
    <w:rsid w:val="00AB3A85"/>
    <w:rsid w:val="00AB3B8C"/>
    <w:rsid w:val="00AB50D7"/>
    <w:rsid w:val="00AB5445"/>
    <w:rsid w:val="00AB5911"/>
    <w:rsid w:val="00AB6574"/>
    <w:rsid w:val="00AB6674"/>
    <w:rsid w:val="00AB68D1"/>
    <w:rsid w:val="00AB692E"/>
    <w:rsid w:val="00AC061D"/>
    <w:rsid w:val="00AC0841"/>
    <w:rsid w:val="00AC0D07"/>
    <w:rsid w:val="00AC1A29"/>
    <w:rsid w:val="00AC1CD9"/>
    <w:rsid w:val="00AC2694"/>
    <w:rsid w:val="00AC3244"/>
    <w:rsid w:val="00AC32A6"/>
    <w:rsid w:val="00AC3ABE"/>
    <w:rsid w:val="00AC3B04"/>
    <w:rsid w:val="00AC4C40"/>
    <w:rsid w:val="00AC5587"/>
    <w:rsid w:val="00AC573F"/>
    <w:rsid w:val="00AC60A8"/>
    <w:rsid w:val="00AC663E"/>
    <w:rsid w:val="00AC692C"/>
    <w:rsid w:val="00AC6D13"/>
    <w:rsid w:val="00AC71F4"/>
    <w:rsid w:val="00AC7226"/>
    <w:rsid w:val="00AC7720"/>
    <w:rsid w:val="00AD04F1"/>
    <w:rsid w:val="00AD061F"/>
    <w:rsid w:val="00AD099D"/>
    <w:rsid w:val="00AD13F0"/>
    <w:rsid w:val="00AD2168"/>
    <w:rsid w:val="00AD264F"/>
    <w:rsid w:val="00AD2F66"/>
    <w:rsid w:val="00AD4738"/>
    <w:rsid w:val="00AD54C1"/>
    <w:rsid w:val="00AD63A0"/>
    <w:rsid w:val="00AE25D5"/>
    <w:rsid w:val="00AE2AA8"/>
    <w:rsid w:val="00AE33A6"/>
    <w:rsid w:val="00AE4639"/>
    <w:rsid w:val="00AE50C5"/>
    <w:rsid w:val="00AE6423"/>
    <w:rsid w:val="00AE6813"/>
    <w:rsid w:val="00AE6D48"/>
    <w:rsid w:val="00AE7CE5"/>
    <w:rsid w:val="00AF059E"/>
    <w:rsid w:val="00AF06E8"/>
    <w:rsid w:val="00AF119E"/>
    <w:rsid w:val="00AF1664"/>
    <w:rsid w:val="00AF22F9"/>
    <w:rsid w:val="00AF330E"/>
    <w:rsid w:val="00AF532F"/>
    <w:rsid w:val="00AF5B0B"/>
    <w:rsid w:val="00AF5C99"/>
    <w:rsid w:val="00B00062"/>
    <w:rsid w:val="00B008F1"/>
    <w:rsid w:val="00B00B64"/>
    <w:rsid w:val="00B011D5"/>
    <w:rsid w:val="00B03A29"/>
    <w:rsid w:val="00B03DC4"/>
    <w:rsid w:val="00B03E94"/>
    <w:rsid w:val="00B04658"/>
    <w:rsid w:val="00B10D24"/>
    <w:rsid w:val="00B10EB6"/>
    <w:rsid w:val="00B1159A"/>
    <w:rsid w:val="00B11657"/>
    <w:rsid w:val="00B118A7"/>
    <w:rsid w:val="00B121B1"/>
    <w:rsid w:val="00B125C6"/>
    <w:rsid w:val="00B12C95"/>
    <w:rsid w:val="00B1304E"/>
    <w:rsid w:val="00B1405E"/>
    <w:rsid w:val="00B146DF"/>
    <w:rsid w:val="00B14A35"/>
    <w:rsid w:val="00B15051"/>
    <w:rsid w:val="00B15E0F"/>
    <w:rsid w:val="00B1657E"/>
    <w:rsid w:val="00B167A4"/>
    <w:rsid w:val="00B2148E"/>
    <w:rsid w:val="00B2173F"/>
    <w:rsid w:val="00B21BDF"/>
    <w:rsid w:val="00B22203"/>
    <w:rsid w:val="00B22E5A"/>
    <w:rsid w:val="00B252C7"/>
    <w:rsid w:val="00B26045"/>
    <w:rsid w:val="00B30DAA"/>
    <w:rsid w:val="00B31539"/>
    <w:rsid w:val="00B31EC2"/>
    <w:rsid w:val="00B31F3A"/>
    <w:rsid w:val="00B32862"/>
    <w:rsid w:val="00B33246"/>
    <w:rsid w:val="00B33402"/>
    <w:rsid w:val="00B33CC3"/>
    <w:rsid w:val="00B3432B"/>
    <w:rsid w:val="00B35AC1"/>
    <w:rsid w:val="00B36667"/>
    <w:rsid w:val="00B3676A"/>
    <w:rsid w:val="00B36BCD"/>
    <w:rsid w:val="00B3723D"/>
    <w:rsid w:val="00B37A0C"/>
    <w:rsid w:val="00B40E2E"/>
    <w:rsid w:val="00B417A0"/>
    <w:rsid w:val="00B41824"/>
    <w:rsid w:val="00B42677"/>
    <w:rsid w:val="00B438A9"/>
    <w:rsid w:val="00B43B64"/>
    <w:rsid w:val="00B43D96"/>
    <w:rsid w:val="00B43DEF"/>
    <w:rsid w:val="00B44ABC"/>
    <w:rsid w:val="00B45988"/>
    <w:rsid w:val="00B46579"/>
    <w:rsid w:val="00B4751B"/>
    <w:rsid w:val="00B477DE"/>
    <w:rsid w:val="00B47F84"/>
    <w:rsid w:val="00B50904"/>
    <w:rsid w:val="00B51B25"/>
    <w:rsid w:val="00B5217A"/>
    <w:rsid w:val="00B52DDE"/>
    <w:rsid w:val="00B5318C"/>
    <w:rsid w:val="00B53D9D"/>
    <w:rsid w:val="00B540F1"/>
    <w:rsid w:val="00B54DDD"/>
    <w:rsid w:val="00B553D0"/>
    <w:rsid w:val="00B55417"/>
    <w:rsid w:val="00B555AE"/>
    <w:rsid w:val="00B55E87"/>
    <w:rsid w:val="00B564FA"/>
    <w:rsid w:val="00B5730A"/>
    <w:rsid w:val="00B57DCE"/>
    <w:rsid w:val="00B57FAE"/>
    <w:rsid w:val="00B60F86"/>
    <w:rsid w:val="00B62685"/>
    <w:rsid w:val="00B6357C"/>
    <w:rsid w:val="00B63FF0"/>
    <w:rsid w:val="00B653B8"/>
    <w:rsid w:val="00B65D29"/>
    <w:rsid w:val="00B660EE"/>
    <w:rsid w:val="00B66819"/>
    <w:rsid w:val="00B66B68"/>
    <w:rsid w:val="00B6769F"/>
    <w:rsid w:val="00B6786A"/>
    <w:rsid w:val="00B67D2D"/>
    <w:rsid w:val="00B702AA"/>
    <w:rsid w:val="00B70473"/>
    <w:rsid w:val="00B7126A"/>
    <w:rsid w:val="00B71290"/>
    <w:rsid w:val="00B72A1B"/>
    <w:rsid w:val="00B72FD7"/>
    <w:rsid w:val="00B73375"/>
    <w:rsid w:val="00B73DE7"/>
    <w:rsid w:val="00B74913"/>
    <w:rsid w:val="00B75ED0"/>
    <w:rsid w:val="00B76206"/>
    <w:rsid w:val="00B7690D"/>
    <w:rsid w:val="00B76C5E"/>
    <w:rsid w:val="00B771CE"/>
    <w:rsid w:val="00B77D87"/>
    <w:rsid w:val="00B81A4F"/>
    <w:rsid w:val="00B82827"/>
    <w:rsid w:val="00B843D2"/>
    <w:rsid w:val="00B84B74"/>
    <w:rsid w:val="00B85D83"/>
    <w:rsid w:val="00B85F76"/>
    <w:rsid w:val="00B907A7"/>
    <w:rsid w:val="00B90CA4"/>
    <w:rsid w:val="00B92398"/>
    <w:rsid w:val="00B92483"/>
    <w:rsid w:val="00B93F44"/>
    <w:rsid w:val="00B94577"/>
    <w:rsid w:val="00B95869"/>
    <w:rsid w:val="00B9658C"/>
    <w:rsid w:val="00B96E8F"/>
    <w:rsid w:val="00B97089"/>
    <w:rsid w:val="00B97A02"/>
    <w:rsid w:val="00BA00FD"/>
    <w:rsid w:val="00BA0104"/>
    <w:rsid w:val="00BA0174"/>
    <w:rsid w:val="00BA0B5B"/>
    <w:rsid w:val="00BA14EF"/>
    <w:rsid w:val="00BA2649"/>
    <w:rsid w:val="00BA460C"/>
    <w:rsid w:val="00BA6ED8"/>
    <w:rsid w:val="00BA6FCF"/>
    <w:rsid w:val="00BA77E7"/>
    <w:rsid w:val="00BA7E1F"/>
    <w:rsid w:val="00BB0D9F"/>
    <w:rsid w:val="00BB0E28"/>
    <w:rsid w:val="00BB17C6"/>
    <w:rsid w:val="00BB1FC5"/>
    <w:rsid w:val="00BB2272"/>
    <w:rsid w:val="00BB3FFC"/>
    <w:rsid w:val="00BB4092"/>
    <w:rsid w:val="00BB5A85"/>
    <w:rsid w:val="00BB5BE0"/>
    <w:rsid w:val="00BB5C4C"/>
    <w:rsid w:val="00BB5D88"/>
    <w:rsid w:val="00BB664E"/>
    <w:rsid w:val="00BB6B6A"/>
    <w:rsid w:val="00BB6C55"/>
    <w:rsid w:val="00BB7AA3"/>
    <w:rsid w:val="00BB7AFD"/>
    <w:rsid w:val="00BB7B0C"/>
    <w:rsid w:val="00BB7E98"/>
    <w:rsid w:val="00BC0A8D"/>
    <w:rsid w:val="00BC0EB1"/>
    <w:rsid w:val="00BC170A"/>
    <w:rsid w:val="00BC26FD"/>
    <w:rsid w:val="00BC28A5"/>
    <w:rsid w:val="00BC2E95"/>
    <w:rsid w:val="00BC33C4"/>
    <w:rsid w:val="00BC367A"/>
    <w:rsid w:val="00BC449A"/>
    <w:rsid w:val="00BC4D3B"/>
    <w:rsid w:val="00BC598D"/>
    <w:rsid w:val="00BC6245"/>
    <w:rsid w:val="00BC6ABC"/>
    <w:rsid w:val="00BC6C90"/>
    <w:rsid w:val="00BD0507"/>
    <w:rsid w:val="00BD1351"/>
    <w:rsid w:val="00BD17F6"/>
    <w:rsid w:val="00BD2054"/>
    <w:rsid w:val="00BD206D"/>
    <w:rsid w:val="00BD2192"/>
    <w:rsid w:val="00BD382E"/>
    <w:rsid w:val="00BD4387"/>
    <w:rsid w:val="00BD4F1E"/>
    <w:rsid w:val="00BD5D3B"/>
    <w:rsid w:val="00BD62E0"/>
    <w:rsid w:val="00BD6644"/>
    <w:rsid w:val="00BD6BF1"/>
    <w:rsid w:val="00BD7AA0"/>
    <w:rsid w:val="00BE079D"/>
    <w:rsid w:val="00BE14E9"/>
    <w:rsid w:val="00BE2249"/>
    <w:rsid w:val="00BE2762"/>
    <w:rsid w:val="00BE31F3"/>
    <w:rsid w:val="00BE3922"/>
    <w:rsid w:val="00BE3E97"/>
    <w:rsid w:val="00BE5131"/>
    <w:rsid w:val="00BE5788"/>
    <w:rsid w:val="00BE5AEA"/>
    <w:rsid w:val="00BE5CB6"/>
    <w:rsid w:val="00BE6352"/>
    <w:rsid w:val="00BE692F"/>
    <w:rsid w:val="00BE6D38"/>
    <w:rsid w:val="00BE7E83"/>
    <w:rsid w:val="00BF044E"/>
    <w:rsid w:val="00BF056F"/>
    <w:rsid w:val="00BF2098"/>
    <w:rsid w:val="00BF35DE"/>
    <w:rsid w:val="00BF5785"/>
    <w:rsid w:val="00BF5B64"/>
    <w:rsid w:val="00BF60A0"/>
    <w:rsid w:val="00BF6F7D"/>
    <w:rsid w:val="00BF7871"/>
    <w:rsid w:val="00C005F9"/>
    <w:rsid w:val="00C00602"/>
    <w:rsid w:val="00C010FB"/>
    <w:rsid w:val="00C0174A"/>
    <w:rsid w:val="00C01D6C"/>
    <w:rsid w:val="00C02232"/>
    <w:rsid w:val="00C0405C"/>
    <w:rsid w:val="00C0495E"/>
    <w:rsid w:val="00C07530"/>
    <w:rsid w:val="00C0783E"/>
    <w:rsid w:val="00C07A63"/>
    <w:rsid w:val="00C10A8E"/>
    <w:rsid w:val="00C118D7"/>
    <w:rsid w:val="00C12134"/>
    <w:rsid w:val="00C12CED"/>
    <w:rsid w:val="00C13CA0"/>
    <w:rsid w:val="00C15277"/>
    <w:rsid w:val="00C16980"/>
    <w:rsid w:val="00C20DCD"/>
    <w:rsid w:val="00C21642"/>
    <w:rsid w:val="00C21A09"/>
    <w:rsid w:val="00C224A7"/>
    <w:rsid w:val="00C2429D"/>
    <w:rsid w:val="00C24DCA"/>
    <w:rsid w:val="00C25BF4"/>
    <w:rsid w:val="00C26D1B"/>
    <w:rsid w:val="00C2759B"/>
    <w:rsid w:val="00C27C6B"/>
    <w:rsid w:val="00C27E20"/>
    <w:rsid w:val="00C30C7C"/>
    <w:rsid w:val="00C312E0"/>
    <w:rsid w:val="00C320E6"/>
    <w:rsid w:val="00C32638"/>
    <w:rsid w:val="00C32C35"/>
    <w:rsid w:val="00C32EA2"/>
    <w:rsid w:val="00C331B7"/>
    <w:rsid w:val="00C3467B"/>
    <w:rsid w:val="00C3548B"/>
    <w:rsid w:val="00C357B1"/>
    <w:rsid w:val="00C3676A"/>
    <w:rsid w:val="00C36DC8"/>
    <w:rsid w:val="00C377BE"/>
    <w:rsid w:val="00C37C85"/>
    <w:rsid w:val="00C40E1A"/>
    <w:rsid w:val="00C41A9F"/>
    <w:rsid w:val="00C423C8"/>
    <w:rsid w:val="00C42D90"/>
    <w:rsid w:val="00C44786"/>
    <w:rsid w:val="00C447E2"/>
    <w:rsid w:val="00C44A7A"/>
    <w:rsid w:val="00C44A7F"/>
    <w:rsid w:val="00C44E8C"/>
    <w:rsid w:val="00C45131"/>
    <w:rsid w:val="00C4555E"/>
    <w:rsid w:val="00C464F3"/>
    <w:rsid w:val="00C47826"/>
    <w:rsid w:val="00C479D6"/>
    <w:rsid w:val="00C47EE7"/>
    <w:rsid w:val="00C505C5"/>
    <w:rsid w:val="00C5063A"/>
    <w:rsid w:val="00C51287"/>
    <w:rsid w:val="00C512A1"/>
    <w:rsid w:val="00C5165B"/>
    <w:rsid w:val="00C51670"/>
    <w:rsid w:val="00C524CD"/>
    <w:rsid w:val="00C52781"/>
    <w:rsid w:val="00C52F42"/>
    <w:rsid w:val="00C535FC"/>
    <w:rsid w:val="00C54602"/>
    <w:rsid w:val="00C54B0A"/>
    <w:rsid w:val="00C553BC"/>
    <w:rsid w:val="00C555E0"/>
    <w:rsid w:val="00C55CF3"/>
    <w:rsid w:val="00C56FA5"/>
    <w:rsid w:val="00C5724B"/>
    <w:rsid w:val="00C57708"/>
    <w:rsid w:val="00C57BEC"/>
    <w:rsid w:val="00C61412"/>
    <w:rsid w:val="00C61D65"/>
    <w:rsid w:val="00C61FB2"/>
    <w:rsid w:val="00C63A02"/>
    <w:rsid w:val="00C64405"/>
    <w:rsid w:val="00C6471B"/>
    <w:rsid w:val="00C64993"/>
    <w:rsid w:val="00C64F96"/>
    <w:rsid w:val="00C66438"/>
    <w:rsid w:val="00C6659C"/>
    <w:rsid w:val="00C66671"/>
    <w:rsid w:val="00C66E89"/>
    <w:rsid w:val="00C672F8"/>
    <w:rsid w:val="00C708C5"/>
    <w:rsid w:val="00C70A40"/>
    <w:rsid w:val="00C71408"/>
    <w:rsid w:val="00C71509"/>
    <w:rsid w:val="00C71A7B"/>
    <w:rsid w:val="00C72C9E"/>
    <w:rsid w:val="00C74358"/>
    <w:rsid w:val="00C756CA"/>
    <w:rsid w:val="00C759AB"/>
    <w:rsid w:val="00C7696D"/>
    <w:rsid w:val="00C76BBA"/>
    <w:rsid w:val="00C77EA6"/>
    <w:rsid w:val="00C80057"/>
    <w:rsid w:val="00C81762"/>
    <w:rsid w:val="00C81BD3"/>
    <w:rsid w:val="00C824B8"/>
    <w:rsid w:val="00C82860"/>
    <w:rsid w:val="00C82A50"/>
    <w:rsid w:val="00C83583"/>
    <w:rsid w:val="00C83A8E"/>
    <w:rsid w:val="00C84104"/>
    <w:rsid w:val="00C84C2C"/>
    <w:rsid w:val="00C84E3B"/>
    <w:rsid w:val="00C85E13"/>
    <w:rsid w:val="00C8605A"/>
    <w:rsid w:val="00C866F3"/>
    <w:rsid w:val="00C8671B"/>
    <w:rsid w:val="00C86755"/>
    <w:rsid w:val="00C86E4D"/>
    <w:rsid w:val="00C87998"/>
    <w:rsid w:val="00C87D5C"/>
    <w:rsid w:val="00C87F1C"/>
    <w:rsid w:val="00C87FE2"/>
    <w:rsid w:val="00C9037B"/>
    <w:rsid w:val="00C903CC"/>
    <w:rsid w:val="00C908B1"/>
    <w:rsid w:val="00C91CBC"/>
    <w:rsid w:val="00C93BE8"/>
    <w:rsid w:val="00C949D5"/>
    <w:rsid w:val="00C95649"/>
    <w:rsid w:val="00C95E6D"/>
    <w:rsid w:val="00C95F02"/>
    <w:rsid w:val="00C9623B"/>
    <w:rsid w:val="00C96431"/>
    <w:rsid w:val="00C96536"/>
    <w:rsid w:val="00C96F88"/>
    <w:rsid w:val="00C97E73"/>
    <w:rsid w:val="00C97EE4"/>
    <w:rsid w:val="00CA0C2A"/>
    <w:rsid w:val="00CA0F9E"/>
    <w:rsid w:val="00CA1189"/>
    <w:rsid w:val="00CA1780"/>
    <w:rsid w:val="00CA1D55"/>
    <w:rsid w:val="00CA1ECC"/>
    <w:rsid w:val="00CA20C8"/>
    <w:rsid w:val="00CA30D8"/>
    <w:rsid w:val="00CA36BD"/>
    <w:rsid w:val="00CA3D0E"/>
    <w:rsid w:val="00CA4A88"/>
    <w:rsid w:val="00CA50A1"/>
    <w:rsid w:val="00CA5499"/>
    <w:rsid w:val="00CA5A93"/>
    <w:rsid w:val="00CA5F39"/>
    <w:rsid w:val="00CA776B"/>
    <w:rsid w:val="00CA7C72"/>
    <w:rsid w:val="00CA7E0C"/>
    <w:rsid w:val="00CB19D7"/>
    <w:rsid w:val="00CB2444"/>
    <w:rsid w:val="00CB2DC9"/>
    <w:rsid w:val="00CB3D03"/>
    <w:rsid w:val="00CB3D62"/>
    <w:rsid w:val="00CB417B"/>
    <w:rsid w:val="00CB44DB"/>
    <w:rsid w:val="00CB493D"/>
    <w:rsid w:val="00CB49E6"/>
    <w:rsid w:val="00CB5C9D"/>
    <w:rsid w:val="00CB7DD3"/>
    <w:rsid w:val="00CC0208"/>
    <w:rsid w:val="00CC03EA"/>
    <w:rsid w:val="00CC05AA"/>
    <w:rsid w:val="00CC0879"/>
    <w:rsid w:val="00CC0A6C"/>
    <w:rsid w:val="00CC0F32"/>
    <w:rsid w:val="00CC1ECF"/>
    <w:rsid w:val="00CC25CB"/>
    <w:rsid w:val="00CC3932"/>
    <w:rsid w:val="00CC4322"/>
    <w:rsid w:val="00CC508B"/>
    <w:rsid w:val="00CC530D"/>
    <w:rsid w:val="00CC5888"/>
    <w:rsid w:val="00CC5EAB"/>
    <w:rsid w:val="00CC671E"/>
    <w:rsid w:val="00CC7063"/>
    <w:rsid w:val="00CC7E48"/>
    <w:rsid w:val="00CD05FC"/>
    <w:rsid w:val="00CD0A6C"/>
    <w:rsid w:val="00CD0DE5"/>
    <w:rsid w:val="00CD0E53"/>
    <w:rsid w:val="00CD0FB4"/>
    <w:rsid w:val="00CD1CDA"/>
    <w:rsid w:val="00CD22B2"/>
    <w:rsid w:val="00CD37F2"/>
    <w:rsid w:val="00CD3BDF"/>
    <w:rsid w:val="00CD3E9C"/>
    <w:rsid w:val="00CD4AA1"/>
    <w:rsid w:val="00CD4DD0"/>
    <w:rsid w:val="00CD4FE7"/>
    <w:rsid w:val="00CD66B1"/>
    <w:rsid w:val="00CD70E7"/>
    <w:rsid w:val="00CE0FC0"/>
    <w:rsid w:val="00CE2007"/>
    <w:rsid w:val="00CE2CCE"/>
    <w:rsid w:val="00CE318C"/>
    <w:rsid w:val="00CE3235"/>
    <w:rsid w:val="00CE32DE"/>
    <w:rsid w:val="00CE43CA"/>
    <w:rsid w:val="00CE4404"/>
    <w:rsid w:val="00CE4A0C"/>
    <w:rsid w:val="00CE532C"/>
    <w:rsid w:val="00CE532D"/>
    <w:rsid w:val="00CE5C6A"/>
    <w:rsid w:val="00CE5E08"/>
    <w:rsid w:val="00CE61C2"/>
    <w:rsid w:val="00CE624A"/>
    <w:rsid w:val="00CE6646"/>
    <w:rsid w:val="00CE6761"/>
    <w:rsid w:val="00CE7526"/>
    <w:rsid w:val="00CF0A06"/>
    <w:rsid w:val="00CF1279"/>
    <w:rsid w:val="00CF1794"/>
    <w:rsid w:val="00CF17ED"/>
    <w:rsid w:val="00CF1D44"/>
    <w:rsid w:val="00CF23D3"/>
    <w:rsid w:val="00CF2E3A"/>
    <w:rsid w:val="00CF3211"/>
    <w:rsid w:val="00CF38ED"/>
    <w:rsid w:val="00CF60EB"/>
    <w:rsid w:val="00CF6CA9"/>
    <w:rsid w:val="00CF7BED"/>
    <w:rsid w:val="00CF7F17"/>
    <w:rsid w:val="00D001D9"/>
    <w:rsid w:val="00D0139B"/>
    <w:rsid w:val="00D0148B"/>
    <w:rsid w:val="00D02789"/>
    <w:rsid w:val="00D02A8A"/>
    <w:rsid w:val="00D02CA3"/>
    <w:rsid w:val="00D0314B"/>
    <w:rsid w:val="00D039B4"/>
    <w:rsid w:val="00D03E19"/>
    <w:rsid w:val="00D043F0"/>
    <w:rsid w:val="00D04C29"/>
    <w:rsid w:val="00D05BAF"/>
    <w:rsid w:val="00D0620D"/>
    <w:rsid w:val="00D06298"/>
    <w:rsid w:val="00D07A98"/>
    <w:rsid w:val="00D1051E"/>
    <w:rsid w:val="00D10E5D"/>
    <w:rsid w:val="00D111E8"/>
    <w:rsid w:val="00D126F7"/>
    <w:rsid w:val="00D13F0B"/>
    <w:rsid w:val="00D1421C"/>
    <w:rsid w:val="00D14E45"/>
    <w:rsid w:val="00D15254"/>
    <w:rsid w:val="00D15898"/>
    <w:rsid w:val="00D15C2C"/>
    <w:rsid w:val="00D17717"/>
    <w:rsid w:val="00D178A2"/>
    <w:rsid w:val="00D17A6D"/>
    <w:rsid w:val="00D17C1E"/>
    <w:rsid w:val="00D206FB"/>
    <w:rsid w:val="00D225C6"/>
    <w:rsid w:val="00D2535E"/>
    <w:rsid w:val="00D2539B"/>
    <w:rsid w:val="00D26D61"/>
    <w:rsid w:val="00D30D9D"/>
    <w:rsid w:val="00D31A41"/>
    <w:rsid w:val="00D33D57"/>
    <w:rsid w:val="00D345FE"/>
    <w:rsid w:val="00D34894"/>
    <w:rsid w:val="00D3562B"/>
    <w:rsid w:val="00D36710"/>
    <w:rsid w:val="00D378E5"/>
    <w:rsid w:val="00D405DE"/>
    <w:rsid w:val="00D409C8"/>
    <w:rsid w:val="00D40BA8"/>
    <w:rsid w:val="00D424F3"/>
    <w:rsid w:val="00D4255E"/>
    <w:rsid w:val="00D42910"/>
    <w:rsid w:val="00D432A4"/>
    <w:rsid w:val="00D44B83"/>
    <w:rsid w:val="00D44CF5"/>
    <w:rsid w:val="00D4523A"/>
    <w:rsid w:val="00D452A9"/>
    <w:rsid w:val="00D4605B"/>
    <w:rsid w:val="00D468C7"/>
    <w:rsid w:val="00D516AE"/>
    <w:rsid w:val="00D51CA3"/>
    <w:rsid w:val="00D53C27"/>
    <w:rsid w:val="00D54213"/>
    <w:rsid w:val="00D55D92"/>
    <w:rsid w:val="00D55E6C"/>
    <w:rsid w:val="00D56EC3"/>
    <w:rsid w:val="00D600A3"/>
    <w:rsid w:val="00D601AC"/>
    <w:rsid w:val="00D60E00"/>
    <w:rsid w:val="00D61EA8"/>
    <w:rsid w:val="00D62283"/>
    <w:rsid w:val="00D624D4"/>
    <w:rsid w:val="00D62B83"/>
    <w:rsid w:val="00D6304D"/>
    <w:rsid w:val="00D6322B"/>
    <w:rsid w:val="00D63482"/>
    <w:rsid w:val="00D63A0B"/>
    <w:rsid w:val="00D63B6C"/>
    <w:rsid w:val="00D63C17"/>
    <w:rsid w:val="00D63D9C"/>
    <w:rsid w:val="00D64827"/>
    <w:rsid w:val="00D6488B"/>
    <w:rsid w:val="00D65590"/>
    <w:rsid w:val="00D65A65"/>
    <w:rsid w:val="00D65FFA"/>
    <w:rsid w:val="00D66081"/>
    <w:rsid w:val="00D6735D"/>
    <w:rsid w:val="00D701BF"/>
    <w:rsid w:val="00D70363"/>
    <w:rsid w:val="00D706B4"/>
    <w:rsid w:val="00D712F1"/>
    <w:rsid w:val="00D717FD"/>
    <w:rsid w:val="00D71C55"/>
    <w:rsid w:val="00D72008"/>
    <w:rsid w:val="00D720A9"/>
    <w:rsid w:val="00D7228C"/>
    <w:rsid w:val="00D72543"/>
    <w:rsid w:val="00D72E2C"/>
    <w:rsid w:val="00D73159"/>
    <w:rsid w:val="00D732FA"/>
    <w:rsid w:val="00D73E36"/>
    <w:rsid w:val="00D73F13"/>
    <w:rsid w:val="00D73FA4"/>
    <w:rsid w:val="00D7492B"/>
    <w:rsid w:val="00D7702F"/>
    <w:rsid w:val="00D776B6"/>
    <w:rsid w:val="00D77CC4"/>
    <w:rsid w:val="00D80703"/>
    <w:rsid w:val="00D808F5"/>
    <w:rsid w:val="00D80FE2"/>
    <w:rsid w:val="00D810B7"/>
    <w:rsid w:val="00D8164F"/>
    <w:rsid w:val="00D823E8"/>
    <w:rsid w:val="00D834EB"/>
    <w:rsid w:val="00D83BB1"/>
    <w:rsid w:val="00D85332"/>
    <w:rsid w:val="00D859A2"/>
    <w:rsid w:val="00D86620"/>
    <w:rsid w:val="00D8698F"/>
    <w:rsid w:val="00D86A68"/>
    <w:rsid w:val="00D87138"/>
    <w:rsid w:val="00D87360"/>
    <w:rsid w:val="00D87C07"/>
    <w:rsid w:val="00D901C3"/>
    <w:rsid w:val="00D9061C"/>
    <w:rsid w:val="00D90982"/>
    <w:rsid w:val="00D90B8D"/>
    <w:rsid w:val="00D90EF1"/>
    <w:rsid w:val="00D91824"/>
    <w:rsid w:val="00D93AAE"/>
    <w:rsid w:val="00D94098"/>
    <w:rsid w:val="00D9491B"/>
    <w:rsid w:val="00D94B19"/>
    <w:rsid w:val="00D9503B"/>
    <w:rsid w:val="00D95D3E"/>
    <w:rsid w:val="00D95F56"/>
    <w:rsid w:val="00D95F63"/>
    <w:rsid w:val="00D963CA"/>
    <w:rsid w:val="00D96501"/>
    <w:rsid w:val="00D96733"/>
    <w:rsid w:val="00D968D9"/>
    <w:rsid w:val="00D96ECF"/>
    <w:rsid w:val="00D97CB0"/>
    <w:rsid w:val="00D97DBF"/>
    <w:rsid w:val="00D97F85"/>
    <w:rsid w:val="00DA1980"/>
    <w:rsid w:val="00DA2191"/>
    <w:rsid w:val="00DA279C"/>
    <w:rsid w:val="00DA33BC"/>
    <w:rsid w:val="00DA3C64"/>
    <w:rsid w:val="00DA45A4"/>
    <w:rsid w:val="00DA494E"/>
    <w:rsid w:val="00DA4C44"/>
    <w:rsid w:val="00DA5558"/>
    <w:rsid w:val="00DA630F"/>
    <w:rsid w:val="00DA6821"/>
    <w:rsid w:val="00DA70BA"/>
    <w:rsid w:val="00DA774C"/>
    <w:rsid w:val="00DA7F4F"/>
    <w:rsid w:val="00DB08B8"/>
    <w:rsid w:val="00DB12A5"/>
    <w:rsid w:val="00DB1686"/>
    <w:rsid w:val="00DB1B9E"/>
    <w:rsid w:val="00DB308D"/>
    <w:rsid w:val="00DB3D6F"/>
    <w:rsid w:val="00DB3EF2"/>
    <w:rsid w:val="00DB48DF"/>
    <w:rsid w:val="00DB4F2B"/>
    <w:rsid w:val="00DB4F6C"/>
    <w:rsid w:val="00DB62D4"/>
    <w:rsid w:val="00DB68AE"/>
    <w:rsid w:val="00DB6D71"/>
    <w:rsid w:val="00DB6E6F"/>
    <w:rsid w:val="00DC0C00"/>
    <w:rsid w:val="00DC1536"/>
    <w:rsid w:val="00DC2FA9"/>
    <w:rsid w:val="00DC4511"/>
    <w:rsid w:val="00DC65AA"/>
    <w:rsid w:val="00DC72F6"/>
    <w:rsid w:val="00DC74C6"/>
    <w:rsid w:val="00DC7541"/>
    <w:rsid w:val="00DC7A04"/>
    <w:rsid w:val="00DC7B49"/>
    <w:rsid w:val="00DC7CB0"/>
    <w:rsid w:val="00DD015B"/>
    <w:rsid w:val="00DD03BC"/>
    <w:rsid w:val="00DD0E77"/>
    <w:rsid w:val="00DD149A"/>
    <w:rsid w:val="00DD1573"/>
    <w:rsid w:val="00DD1619"/>
    <w:rsid w:val="00DD1E6E"/>
    <w:rsid w:val="00DD22CC"/>
    <w:rsid w:val="00DD22D5"/>
    <w:rsid w:val="00DD28C5"/>
    <w:rsid w:val="00DD3ADA"/>
    <w:rsid w:val="00DD43E8"/>
    <w:rsid w:val="00DD47C8"/>
    <w:rsid w:val="00DD493D"/>
    <w:rsid w:val="00DD508F"/>
    <w:rsid w:val="00DD5B57"/>
    <w:rsid w:val="00DD7121"/>
    <w:rsid w:val="00DD712D"/>
    <w:rsid w:val="00DD728A"/>
    <w:rsid w:val="00DD7CA9"/>
    <w:rsid w:val="00DE1220"/>
    <w:rsid w:val="00DE233F"/>
    <w:rsid w:val="00DE3A59"/>
    <w:rsid w:val="00DE455B"/>
    <w:rsid w:val="00DE5979"/>
    <w:rsid w:val="00DE59DF"/>
    <w:rsid w:val="00DE5E84"/>
    <w:rsid w:val="00DE6711"/>
    <w:rsid w:val="00DE706E"/>
    <w:rsid w:val="00DE76AF"/>
    <w:rsid w:val="00DE79E7"/>
    <w:rsid w:val="00DF0D61"/>
    <w:rsid w:val="00DF1713"/>
    <w:rsid w:val="00DF2BD2"/>
    <w:rsid w:val="00DF3B40"/>
    <w:rsid w:val="00DF3C15"/>
    <w:rsid w:val="00DF4274"/>
    <w:rsid w:val="00DF42BC"/>
    <w:rsid w:val="00DF515B"/>
    <w:rsid w:val="00DF6237"/>
    <w:rsid w:val="00DF6A9F"/>
    <w:rsid w:val="00DF7653"/>
    <w:rsid w:val="00DF77E9"/>
    <w:rsid w:val="00DF79FC"/>
    <w:rsid w:val="00E00A75"/>
    <w:rsid w:val="00E00B2D"/>
    <w:rsid w:val="00E0114B"/>
    <w:rsid w:val="00E01A54"/>
    <w:rsid w:val="00E02B99"/>
    <w:rsid w:val="00E03732"/>
    <w:rsid w:val="00E03CD9"/>
    <w:rsid w:val="00E03DE0"/>
    <w:rsid w:val="00E04D64"/>
    <w:rsid w:val="00E05C2E"/>
    <w:rsid w:val="00E06C64"/>
    <w:rsid w:val="00E07AC9"/>
    <w:rsid w:val="00E10888"/>
    <w:rsid w:val="00E10C6A"/>
    <w:rsid w:val="00E11EE8"/>
    <w:rsid w:val="00E13EC1"/>
    <w:rsid w:val="00E14813"/>
    <w:rsid w:val="00E15310"/>
    <w:rsid w:val="00E1581E"/>
    <w:rsid w:val="00E15A5F"/>
    <w:rsid w:val="00E160CD"/>
    <w:rsid w:val="00E16297"/>
    <w:rsid w:val="00E165B9"/>
    <w:rsid w:val="00E20BC4"/>
    <w:rsid w:val="00E21628"/>
    <w:rsid w:val="00E21C48"/>
    <w:rsid w:val="00E2381C"/>
    <w:rsid w:val="00E2440C"/>
    <w:rsid w:val="00E24465"/>
    <w:rsid w:val="00E24B76"/>
    <w:rsid w:val="00E25211"/>
    <w:rsid w:val="00E25D10"/>
    <w:rsid w:val="00E262AB"/>
    <w:rsid w:val="00E2633A"/>
    <w:rsid w:val="00E27962"/>
    <w:rsid w:val="00E301C7"/>
    <w:rsid w:val="00E301D7"/>
    <w:rsid w:val="00E308FD"/>
    <w:rsid w:val="00E30AAA"/>
    <w:rsid w:val="00E325BE"/>
    <w:rsid w:val="00E32A84"/>
    <w:rsid w:val="00E3323B"/>
    <w:rsid w:val="00E33296"/>
    <w:rsid w:val="00E334C6"/>
    <w:rsid w:val="00E3422A"/>
    <w:rsid w:val="00E3584E"/>
    <w:rsid w:val="00E35EDF"/>
    <w:rsid w:val="00E3669A"/>
    <w:rsid w:val="00E36D7F"/>
    <w:rsid w:val="00E401B5"/>
    <w:rsid w:val="00E4088E"/>
    <w:rsid w:val="00E415CF"/>
    <w:rsid w:val="00E415F8"/>
    <w:rsid w:val="00E418A4"/>
    <w:rsid w:val="00E420C9"/>
    <w:rsid w:val="00E423C7"/>
    <w:rsid w:val="00E428EE"/>
    <w:rsid w:val="00E446EB"/>
    <w:rsid w:val="00E44F1F"/>
    <w:rsid w:val="00E452CA"/>
    <w:rsid w:val="00E458FF"/>
    <w:rsid w:val="00E4672D"/>
    <w:rsid w:val="00E47C26"/>
    <w:rsid w:val="00E507E9"/>
    <w:rsid w:val="00E50F3E"/>
    <w:rsid w:val="00E50F82"/>
    <w:rsid w:val="00E5124E"/>
    <w:rsid w:val="00E51EEA"/>
    <w:rsid w:val="00E521B7"/>
    <w:rsid w:val="00E53117"/>
    <w:rsid w:val="00E553A9"/>
    <w:rsid w:val="00E561EA"/>
    <w:rsid w:val="00E56EB6"/>
    <w:rsid w:val="00E60196"/>
    <w:rsid w:val="00E60C83"/>
    <w:rsid w:val="00E60D7F"/>
    <w:rsid w:val="00E616AA"/>
    <w:rsid w:val="00E6177F"/>
    <w:rsid w:val="00E61DF0"/>
    <w:rsid w:val="00E62646"/>
    <w:rsid w:val="00E626C6"/>
    <w:rsid w:val="00E629C5"/>
    <w:rsid w:val="00E62AE9"/>
    <w:rsid w:val="00E640C6"/>
    <w:rsid w:val="00E641CB"/>
    <w:rsid w:val="00E64491"/>
    <w:rsid w:val="00E665D6"/>
    <w:rsid w:val="00E67357"/>
    <w:rsid w:val="00E67636"/>
    <w:rsid w:val="00E67908"/>
    <w:rsid w:val="00E7019F"/>
    <w:rsid w:val="00E70C37"/>
    <w:rsid w:val="00E70C64"/>
    <w:rsid w:val="00E70D04"/>
    <w:rsid w:val="00E719C1"/>
    <w:rsid w:val="00E72259"/>
    <w:rsid w:val="00E72EA0"/>
    <w:rsid w:val="00E7302C"/>
    <w:rsid w:val="00E73266"/>
    <w:rsid w:val="00E7384A"/>
    <w:rsid w:val="00E73C0D"/>
    <w:rsid w:val="00E746F8"/>
    <w:rsid w:val="00E75455"/>
    <w:rsid w:val="00E75D45"/>
    <w:rsid w:val="00E760BE"/>
    <w:rsid w:val="00E770F0"/>
    <w:rsid w:val="00E77A30"/>
    <w:rsid w:val="00E77CCB"/>
    <w:rsid w:val="00E80262"/>
    <w:rsid w:val="00E810AB"/>
    <w:rsid w:val="00E816A3"/>
    <w:rsid w:val="00E81B72"/>
    <w:rsid w:val="00E81BF6"/>
    <w:rsid w:val="00E84B76"/>
    <w:rsid w:val="00E84D66"/>
    <w:rsid w:val="00E85256"/>
    <w:rsid w:val="00E86FBA"/>
    <w:rsid w:val="00E877CD"/>
    <w:rsid w:val="00E9092C"/>
    <w:rsid w:val="00E90B9D"/>
    <w:rsid w:val="00E90F47"/>
    <w:rsid w:val="00E9165B"/>
    <w:rsid w:val="00E91AC9"/>
    <w:rsid w:val="00E923BB"/>
    <w:rsid w:val="00E924CD"/>
    <w:rsid w:val="00E928A4"/>
    <w:rsid w:val="00E92B58"/>
    <w:rsid w:val="00E932DE"/>
    <w:rsid w:val="00E93481"/>
    <w:rsid w:val="00E9373F"/>
    <w:rsid w:val="00E94206"/>
    <w:rsid w:val="00E94865"/>
    <w:rsid w:val="00E952D7"/>
    <w:rsid w:val="00E9555B"/>
    <w:rsid w:val="00E95CF3"/>
    <w:rsid w:val="00E962BE"/>
    <w:rsid w:val="00E962DF"/>
    <w:rsid w:val="00E9665F"/>
    <w:rsid w:val="00E96ACF"/>
    <w:rsid w:val="00E96C1A"/>
    <w:rsid w:val="00E97681"/>
    <w:rsid w:val="00E97778"/>
    <w:rsid w:val="00E97C7B"/>
    <w:rsid w:val="00E97D5C"/>
    <w:rsid w:val="00EA0665"/>
    <w:rsid w:val="00EA0822"/>
    <w:rsid w:val="00EA09BA"/>
    <w:rsid w:val="00EA0BE9"/>
    <w:rsid w:val="00EA14DA"/>
    <w:rsid w:val="00EA1615"/>
    <w:rsid w:val="00EA20C3"/>
    <w:rsid w:val="00EA2B31"/>
    <w:rsid w:val="00EA2D90"/>
    <w:rsid w:val="00EA345B"/>
    <w:rsid w:val="00EA360E"/>
    <w:rsid w:val="00EA3FE6"/>
    <w:rsid w:val="00EA45E0"/>
    <w:rsid w:val="00EA4C2A"/>
    <w:rsid w:val="00EA5F1D"/>
    <w:rsid w:val="00EA6923"/>
    <w:rsid w:val="00EA6978"/>
    <w:rsid w:val="00EA737A"/>
    <w:rsid w:val="00EA7A8C"/>
    <w:rsid w:val="00EB046D"/>
    <w:rsid w:val="00EB0E86"/>
    <w:rsid w:val="00EB2D21"/>
    <w:rsid w:val="00EB2EF3"/>
    <w:rsid w:val="00EB31A5"/>
    <w:rsid w:val="00EB484F"/>
    <w:rsid w:val="00EB55F4"/>
    <w:rsid w:val="00EB5722"/>
    <w:rsid w:val="00EB5F02"/>
    <w:rsid w:val="00EB6E2A"/>
    <w:rsid w:val="00EB6F67"/>
    <w:rsid w:val="00EB7427"/>
    <w:rsid w:val="00EC0949"/>
    <w:rsid w:val="00EC0E40"/>
    <w:rsid w:val="00EC166C"/>
    <w:rsid w:val="00EC215B"/>
    <w:rsid w:val="00EC2FA1"/>
    <w:rsid w:val="00EC3492"/>
    <w:rsid w:val="00EC4297"/>
    <w:rsid w:val="00EC5603"/>
    <w:rsid w:val="00EC5FE5"/>
    <w:rsid w:val="00ED0805"/>
    <w:rsid w:val="00ED0C2E"/>
    <w:rsid w:val="00ED16C1"/>
    <w:rsid w:val="00ED1E83"/>
    <w:rsid w:val="00ED35CB"/>
    <w:rsid w:val="00ED4DF8"/>
    <w:rsid w:val="00ED794A"/>
    <w:rsid w:val="00EE1B71"/>
    <w:rsid w:val="00EE2CE4"/>
    <w:rsid w:val="00EE2D15"/>
    <w:rsid w:val="00EE48EC"/>
    <w:rsid w:val="00EE497D"/>
    <w:rsid w:val="00EE4B45"/>
    <w:rsid w:val="00EE672B"/>
    <w:rsid w:val="00EE72FB"/>
    <w:rsid w:val="00EE7306"/>
    <w:rsid w:val="00EE76D5"/>
    <w:rsid w:val="00EF08F5"/>
    <w:rsid w:val="00EF0E0F"/>
    <w:rsid w:val="00EF13B2"/>
    <w:rsid w:val="00EF1644"/>
    <w:rsid w:val="00EF17FC"/>
    <w:rsid w:val="00EF24CF"/>
    <w:rsid w:val="00EF2D0C"/>
    <w:rsid w:val="00EF34F3"/>
    <w:rsid w:val="00EF370F"/>
    <w:rsid w:val="00EF3849"/>
    <w:rsid w:val="00EF4C8A"/>
    <w:rsid w:val="00EF5073"/>
    <w:rsid w:val="00EF55C5"/>
    <w:rsid w:val="00EF5819"/>
    <w:rsid w:val="00EF62A3"/>
    <w:rsid w:val="00EF6D13"/>
    <w:rsid w:val="00EF6F48"/>
    <w:rsid w:val="00EF71DC"/>
    <w:rsid w:val="00EF7202"/>
    <w:rsid w:val="00EF72A1"/>
    <w:rsid w:val="00EF7B6C"/>
    <w:rsid w:val="00F005CC"/>
    <w:rsid w:val="00F012DA"/>
    <w:rsid w:val="00F01795"/>
    <w:rsid w:val="00F021F6"/>
    <w:rsid w:val="00F0323D"/>
    <w:rsid w:val="00F03964"/>
    <w:rsid w:val="00F044AB"/>
    <w:rsid w:val="00F04B30"/>
    <w:rsid w:val="00F05022"/>
    <w:rsid w:val="00F052BA"/>
    <w:rsid w:val="00F0536B"/>
    <w:rsid w:val="00F06168"/>
    <w:rsid w:val="00F06240"/>
    <w:rsid w:val="00F0750A"/>
    <w:rsid w:val="00F1070A"/>
    <w:rsid w:val="00F1160C"/>
    <w:rsid w:val="00F11EBF"/>
    <w:rsid w:val="00F11EE4"/>
    <w:rsid w:val="00F12E54"/>
    <w:rsid w:val="00F1366B"/>
    <w:rsid w:val="00F13CA3"/>
    <w:rsid w:val="00F15AD8"/>
    <w:rsid w:val="00F164E7"/>
    <w:rsid w:val="00F16712"/>
    <w:rsid w:val="00F17FE5"/>
    <w:rsid w:val="00F20170"/>
    <w:rsid w:val="00F20D5F"/>
    <w:rsid w:val="00F215BF"/>
    <w:rsid w:val="00F21838"/>
    <w:rsid w:val="00F22164"/>
    <w:rsid w:val="00F22FD8"/>
    <w:rsid w:val="00F23483"/>
    <w:rsid w:val="00F239C6"/>
    <w:rsid w:val="00F240E3"/>
    <w:rsid w:val="00F243B6"/>
    <w:rsid w:val="00F25707"/>
    <w:rsid w:val="00F2579F"/>
    <w:rsid w:val="00F2599D"/>
    <w:rsid w:val="00F25AA4"/>
    <w:rsid w:val="00F25C1F"/>
    <w:rsid w:val="00F26241"/>
    <w:rsid w:val="00F27530"/>
    <w:rsid w:val="00F27AC8"/>
    <w:rsid w:val="00F27CA0"/>
    <w:rsid w:val="00F27F3B"/>
    <w:rsid w:val="00F3017C"/>
    <w:rsid w:val="00F30B18"/>
    <w:rsid w:val="00F311E9"/>
    <w:rsid w:val="00F323A6"/>
    <w:rsid w:val="00F32C00"/>
    <w:rsid w:val="00F33353"/>
    <w:rsid w:val="00F34196"/>
    <w:rsid w:val="00F34200"/>
    <w:rsid w:val="00F35B5F"/>
    <w:rsid w:val="00F35DAF"/>
    <w:rsid w:val="00F35F3A"/>
    <w:rsid w:val="00F3601C"/>
    <w:rsid w:val="00F360C1"/>
    <w:rsid w:val="00F3621E"/>
    <w:rsid w:val="00F36933"/>
    <w:rsid w:val="00F37FC3"/>
    <w:rsid w:val="00F41036"/>
    <w:rsid w:val="00F4265D"/>
    <w:rsid w:val="00F42AD7"/>
    <w:rsid w:val="00F44861"/>
    <w:rsid w:val="00F44B5C"/>
    <w:rsid w:val="00F45735"/>
    <w:rsid w:val="00F45A25"/>
    <w:rsid w:val="00F45C48"/>
    <w:rsid w:val="00F46E90"/>
    <w:rsid w:val="00F5052D"/>
    <w:rsid w:val="00F50724"/>
    <w:rsid w:val="00F51032"/>
    <w:rsid w:val="00F51F61"/>
    <w:rsid w:val="00F533FB"/>
    <w:rsid w:val="00F55181"/>
    <w:rsid w:val="00F554CC"/>
    <w:rsid w:val="00F5565B"/>
    <w:rsid w:val="00F56AB3"/>
    <w:rsid w:val="00F56E68"/>
    <w:rsid w:val="00F57302"/>
    <w:rsid w:val="00F60E41"/>
    <w:rsid w:val="00F61250"/>
    <w:rsid w:val="00F615A2"/>
    <w:rsid w:val="00F6184B"/>
    <w:rsid w:val="00F61DCB"/>
    <w:rsid w:val="00F61FA8"/>
    <w:rsid w:val="00F625AF"/>
    <w:rsid w:val="00F62B02"/>
    <w:rsid w:val="00F63533"/>
    <w:rsid w:val="00F63A53"/>
    <w:rsid w:val="00F6466C"/>
    <w:rsid w:val="00F66998"/>
    <w:rsid w:val="00F675CF"/>
    <w:rsid w:val="00F67E18"/>
    <w:rsid w:val="00F704C5"/>
    <w:rsid w:val="00F710CC"/>
    <w:rsid w:val="00F71745"/>
    <w:rsid w:val="00F72644"/>
    <w:rsid w:val="00F728C8"/>
    <w:rsid w:val="00F72F46"/>
    <w:rsid w:val="00F74D5D"/>
    <w:rsid w:val="00F75913"/>
    <w:rsid w:val="00F7628B"/>
    <w:rsid w:val="00F76692"/>
    <w:rsid w:val="00F801D8"/>
    <w:rsid w:val="00F81247"/>
    <w:rsid w:val="00F8150B"/>
    <w:rsid w:val="00F82AC2"/>
    <w:rsid w:val="00F82D4F"/>
    <w:rsid w:val="00F82DBE"/>
    <w:rsid w:val="00F83064"/>
    <w:rsid w:val="00F8367B"/>
    <w:rsid w:val="00F84D9C"/>
    <w:rsid w:val="00F84E6E"/>
    <w:rsid w:val="00F852F9"/>
    <w:rsid w:val="00F859FC"/>
    <w:rsid w:val="00F85FEC"/>
    <w:rsid w:val="00F8631D"/>
    <w:rsid w:val="00F864D2"/>
    <w:rsid w:val="00F87095"/>
    <w:rsid w:val="00F875B6"/>
    <w:rsid w:val="00F87C6B"/>
    <w:rsid w:val="00F87D42"/>
    <w:rsid w:val="00F87F17"/>
    <w:rsid w:val="00F92345"/>
    <w:rsid w:val="00F92591"/>
    <w:rsid w:val="00F930A1"/>
    <w:rsid w:val="00F93243"/>
    <w:rsid w:val="00F93BC6"/>
    <w:rsid w:val="00F93D2D"/>
    <w:rsid w:val="00F94B9F"/>
    <w:rsid w:val="00F94D55"/>
    <w:rsid w:val="00F95429"/>
    <w:rsid w:val="00F958FE"/>
    <w:rsid w:val="00F9625E"/>
    <w:rsid w:val="00F96772"/>
    <w:rsid w:val="00F969C5"/>
    <w:rsid w:val="00F96D70"/>
    <w:rsid w:val="00F97D71"/>
    <w:rsid w:val="00FA149D"/>
    <w:rsid w:val="00FA1B2F"/>
    <w:rsid w:val="00FA1D86"/>
    <w:rsid w:val="00FA2353"/>
    <w:rsid w:val="00FA2795"/>
    <w:rsid w:val="00FA2D8B"/>
    <w:rsid w:val="00FA2ECD"/>
    <w:rsid w:val="00FA5686"/>
    <w:rsid w:val="00FA5BBA"/>
    <w:rsid w:val="00FA5C85"/>
    <w:rsid w:val="00FA5CF7"/>
    <w:rsid w:val="00FA6821"/>
    <w:rsid w:val="00FA6F82"/>
    <w:rsid w:val="00FB02C2"/>
    <w:rsid w:val="00FB05ED"/>
    <w:rsid w:val="00FB098F"/>
    <w:rsid w:val="00FB0B60"/>
    <w:rsid w:val="00FB1D58"/>
    <w:rsid w:val="00FB213B"/>
    <w:rsid w:val="00FB25EF"/>
    <w:rsid w:val="00FB281E"/>
    <w:rsid w:val="00FB2D17"/>
    <w:rsid w:val="00FB3667"/>
    <w:rsid w:val="00FB40EB"/>
    <w:rsid w:val="00FB424B"/>
    <w:rsid w:val="00FB43B5"/>
    <w:rsid w:val="00FB4700"/>
    <w:rsid w:val="00FB4909"/>
    <w:rsid w:val="00FB53C7"/>
    <w:rsid w:val="00FB5E3E"/>
    <w:rsid w:val="00FB5F74"/>
    <w:rsid w:val="00FB60B1"/>
    <w:rsid w:val="00FB7CAD"/>
    <w:rsid w:val="00FC0106"/>
    <w:rsid w:val="00FC0145"/>
    <w:rsid w:val="00FC050D"/>
    <w:rsid w:val="00FC19F4"/>
    <w:rsid w:val="00FC3271"/>
    <w:rsid w:val="00FC36C9"/>
    <w:rsid w:val="00FC36D1"/>
    <w:rsid w:val="00FC4249"/>
    <w:rsid w:val="00FC4540"/>
    <w:rsid w:val="00FC5284"/>
    <w:rsid w:val="00FC5D33"/>
    <w:rsid w:val="00FC63F6"/>
    <w:rsid w:val="00FC6EBC"/>
    <w:rsid w:val="00FC7A5B"/>
    <w:rsid w:val="00FC7CCF"/>
    <w:rsid w:val="00FD00DF"/>
    <w:rsid w:val="00FD07F9"/>
    <w:rsid w:val="00FD114D"/>
    <w:rsid w:val="00FD1D90"/>
    <w:rsid w:val="00FD1ED1"/>
    <w:rsid w:val="00FD2017"/>
    <w:rsid w:val="00FD2150"/>
    <w:rsid w:val="00FD2220"/>
    <w:rsid w:val="00FD3BDA"/>
    <w:rsid w:val="00FD5580"/>
    <w:rsid w:val="00FE089F"/>
    <w:rsid w:val="00FE0AC0"/>
    <w:rsid w:val="00FE1130"/>
    <w:rsid w:val="00FE2683"/>
    <w:rsid w:val="00FE2BD1"/>
    <w:rsid w:val="00FE2C6A"/>
    <w:rsid w:val="00FE2F05"/>
    <w:rsid w:val="00FE3200"/>
    <w:rsid w:val="00FE3B3D"/>
    <w:rsid w:val="00FE404E"/>
    <w:rsid w:val="00FE4DCB"/>
    <w:rsid w:val="00FE4E60"/>
    <w:rsid w:val="00FE5116"/>
    <w:rsid w:val="00FE619E"/>
    <w:rsid w:val="00FE67D0"/>
    <w:rsid w:val="00FE6BD3"/>
    <w:rsid w:val="00FE7837"/>
    <w:rsid w:val="00FE7DE7"/>
    <w:rsid w:val="00FF0020"/>
    <w:rsid w:val="00FF160B"/>
    <w:rsid w:val="00FF2189"/>
    <w:rsid w:val="00FF422E"/>
    <w:rsid w:val="00FF4E80"/>
    <w:rsid w:val="00FF50C0"/>
    <w:rsid w:val="00FF6E66"/>
    <w:rsid w:val="00FF7DAF"/>
    <w:rsid w:val="00FF7E74"/>
    <w:rsid w:val="00FF7E8F"/>
    <w:rsid w:val="014E4831"/>
    <w:rsid w:val="0179697A"/>
    <w:rsid w:val="019E7D1C"/>
    <w:rsid w:val="01BA73E4"/>
    <w:rsid w:val="01BC61A4"/>
    <w:rsid w:val="01FB23CB"/>
    <w:rsid w:val="021F05F1"/>
    <w:rsid w:val="026D06C4"/>
    <w:rsid w:val="026D5C3B"/>
    <w:rsid w:val="029370C7"/>
    <w:rsid w:val="029E0CDB"/>
    <w:rsid w:val="02C60B85"/>
    <w:rsid w:val="02EA7AD6"/>
    <w:rsid w:val="035D4E5C"/>
    <w:rsid w:val="035F495A"/>
    <w:rsid w:val="0378063E"/>
    <w:rsid w:val="03970EF3"/>
    <w:rsid w:val="03AD5615"/>
    <w:rsid w:val="03C74FAA"/>
    <w:rsid w:val="03EE1902"/>
    <w:rsid w:val="04172F17"/>
    <w:rsid w:val="043A3826"/>
    <w:rsid w:val="04716658"/>
    <w:rsid w:val="047B6902"/>
    <w:rsid w:val="049C2D1F"/>
    <w:rsid w:val="04B270C1"/>
    <w:rsid w:val="04DD3789"/>
    <w:rsid w:val="04F33BB5"/>
    <w:rsid w:val="0543283E"/>
    <w:rsid w:val="055E085F"/>
    <w:rsid w:val="055F62E0"/>
    <w:rsid w:val="05754C01"/>
    <w:rsid w:val="05B5126E"/>
    <w:rsid w:val="05D77224"/>
    <w:rsid w:val="063D26DA"/>
    <w:rsid w:val="06A86D2D"/>
    <w:rsid w:val="06CA1DEC"/>
    <w:rsid w:val="07071B14"/>
    <w:rsid w:val="07277E4A"/>
    <w:rsid w:val="073161DB"/>
    <w:rsid w:val="076808B4"/>
    <w:rsid w:val="078A686A"/>
    <w:rsid w:val="07C06D44"/>
    <w:rsid w:val="07CA2ED7"/>
    <w:rsid w:val="08575FBE"/>
    <w:rsid w:val="089049A4"/>
    <w:rsid w:val="08C52D6F"/>
    <w:rsid w:val="091A3AFD"/>
    <w:rsid w:val="091E4E53"/>
    <w:rsid w:val="093B1AB4"/>
    <w:rsid w:val="095B7DEA"/>
    <w:rsid w:val="0965414B"/>
    <w:rsid w:val="0971450C"/>
    <w:rsid w:val="0972418C"/>
    <w:rsid w:val="098708AE"/>
    <w:rsid w:val="098F68DA"/>
    <w:rsid w:val="09926C3F"/>
    <w:rsid w:val="09937F44"/>
    <w:rsid w:val="09D50F7A"/>
    <w:rsid w:val="09FE75F3"/>
    <w:rsid w:val="0A1E592A"/>
    <w:rsid w:val="0A2055A9"/>
    <w:rsid w:val="0A616013"/>
    <w:rsid w:val="0A765FB8"/>
    <w:rsid w:val="0A810780"/>
    <w:rsid w:val="0A824B7C"/>
    <w:rsid w:val="0A83153C"/>
    <w:rsid w:val="0A916353"/>
    <w:rsid w:val="0AAC0A11"/>
    <w:rsid w:val="0AC72F50"/>
    <w:rsid w:val="0ACD69C7"/>
    <w:rsid w:val="0AED4CFD"/>
    <w:rsid w:val="0AEE277F"/>
    <w:rsid w:val="0B393AF8"/>
    <w:rsid w:val="0B3A7A6C"/>
    <w:rsid w:val="0B52126F"/>
    <w:rsid w:val="0B7B1F32"/>
    <w:rsid w:val="0B993BD7"/>
    <w:rsid w:val="0BE71301"/>
    <w:rsid w:val="0C281202"/>
    <w:rsid w:val="0C323D10"/>
    <w:rsid w:val="0C3D5924"/>
    <w:rsid w:val="0C7F1C11"/>
    <w:rsid w:val="0C9363D2"/>
    <w:rsid w:val="0CD6481E"/>
    <w:rsid w:val="0CE51EE5"/>
    <w:rsid w:val="0CFC670C"/>
    <w:rsid w:val="0D4C5AE1"/>
    <w:rsid w:val="0D4F31E3"/>
    <w:rsid w:val="0D554593"/>
    <w:rsid w:val="0D591574"/>
    <w:rsid w:val="0D6D0214"/>
    <w:rsid w:val="0D8301BA"/>
    <w:rsid w:val="0D845C3B"/>
    <w:rsid w:val="0DA04E3E"/>
    <w:rsid w:val="0DA601C5"/>
    <w:rsid w:val="0DBB0313"/>
    <w:rsid w:val="0DC40C23"/>
    <w:rsid w:val="0DC444A6"/>
    <w:rsid w:val="0DCF2837"/>
    <w:rsid w:val="0DDA0BC8"/>
    <w:rsid w:val="0DFB6B7F"/>
    <w:rsid w:val="0E1B1632"/>
    <w:rsid w:val="0E221D50"/>
    <w:rsid w:val="0E3D39D4"/>
    <w:rsid w:val="0E722040"/>
    <w:rsid w:val="0E7D3C55"/>
    <w:rsid w:val="0EA97F9C"/>
    <w:rsid w:val="0EC904D1"/>
    <w:rsid w:val="0EF56D96"/>
    <w:rsid w:val="0EFF09AB"/>
    <w:rsid w:val="0F025DCB"/>
    <w:rsid w:val="0F2A064D"/>
    <w:rsid w:val="0F342E19"/>
    <w:rsid w:val="0F411414"/>
    <w:rsid w:val="0F6B5ADC"/>
    <w:rsid w:val="0FAD1DC8"/>
    <w:rsid w:val="0FB0431D"/>
    <w:rsid w:val="0FB70159"/>
    <w:rsid w:val="10036F54"/>
    <w:rsid w:val="1030329B"/>
    <w:rsid w:val="103A162C"/>
    <w:rsid w:val="10571C70"/>
    <w:rsid w:val="10705587"/>
    <w:rsid w:val="107D339A"/>
    <w:rsid w:val="109C3C4F"/>
    <w:rsid w:val="10A61FE0"/>
    <w:rsid w:val="10B10371"/>
    <w:rsid w:val="10E82A49"/>
    <w:rsid w:val="10F20DDB"/>
    <w:rsid w:val="115E178F"/>
    <w:rsid w:val="11C101AE"/>
    <w:rsid w:val="11D70154"/>
    <w:rsid w:val="12160F3D"/>
    <w:rsid w:val="124D3615"/>
    <w:rsid w:val="12591626"/>
    <w:rsid w:val="12A44024"/>
    <w:rsid w:val="12C67A5C"/>
    <w:rsid w:val="12E27FCA"/>
    <w:rsid w:val="13270D7A"/>
    <w:rsid w:val="133C549C"/>
    <w:rsid w:val="13577E6B"/>
    <w:rsid w:val="136817E4"/>
    <w:rsid w:val="137333F8"/>
    <w:rsid w:val="139976F1"/>
    <w:rsid w:val="13D42198"/>
    <w:rsid w:val="14214815"/>
    <w:rsid w:val="144349CA"/>
    <w:rsid w:val="144C52D9"/>
    <w:rsid w:val="145209C9"/>
    <w:rsid w:val="145F0B3D"/>
    <w:rsid w:val="150F2E19"/>
    <w:rsid w:val="15663828"/>
    <w:rsid w:val="159B5473"/>
    <w:rsid w:val="15B21729"/>
    <w:rsid w:val="15C20FB6"/>
    <w:rsid w:val="15D31C5D"/>
    <w:rsid w:val="15E563CE"/>
    <w:rsid w:val="15F77D5D"/>
    <w:rsid w:val="16087E05"/>
    <w:rsid w:val="161E6859"/>
    <w:rsid w:val="168C360A"/>
    <w:rsid w:val="1696199B"/>
    <w:rsid w:val="16A045C8"/>
    <w:rsid w:val="16C16063"/>
    <w:rsid w:val="16F34AA2"/>
    <w:rsid w:val="16FC4FF2"/>
    <w:rsid w:val="17244A82"/>
    <w:rsid w:val="172807D4"/>
    <w:rsid w:val="17394A28"/>
    <w:rsid w:val="17592D5E"/>
    <w:rsid w:val="176E7480"/>
    <w:rsid w:val="17707100"/>
    <w:rsid w:val="17CD1301"/>
    <w:rsid w:val="17DC7AB4"/>
    <w:rsid w:val="17E625C2"/>
    <w:rsid w:val="18345F44"/>
    <w:rsid w:val="185309F7"/>
    <w:rsid w:val="1889564E"/>
    <w:rsid w:val="188A0ED1"/>
    <w:rsid w:val="189439DF"/>
    <w:rsid w:val="18C8188B"/>
    <w:rsid w:val="18E018E0"/>
    <w:rsid w:val="18EB7C71"/>
    <w:rsid w:val="1945464A"/>
    <w:rsid w:val="194C6A11"/>
    <w:rsid w:val="19574DA2"/>
    <w:rsid w:val="19BA322A"/>
    <w:rsid w:val="19BA37C2"/>
    <w:rsid w:val="19C368A9"/>
    <w:rsid w:val="19C41B53"/>
    <w:rsid w:val="19E47E89"/>
    <w:rsid w:val="19EF621A"/>
    <w:rsid w:val="1A2608F3"/>
    <w:rsid w:val="1A3D42B2"/>
    <w:rsid w:val="1A441B2D"/>
    <w:rsid w:val="1A466C29"/>
    <w:rsid w:val="1A48432A"/>
    <w:rsid w:val="1A5A744E"/>
    <w:rsid w:val="1A674BDF"/>
    <w:rsid w:val="1A880997"/>
    <w:rsid w:val="1A9212A7"/>
    <w:rsid w:val="1AB239AF"/>
    <w:rsid w:val="1ADE3924"/>
    <w:rsid w:val="1B0A7C6C"/>
    <w:rsid w:val="1B140089"/>
    <w:rsid w:val="1B155FFD"/>
    <w:rsid w:val="1B2A271F"/>
    <w:rsid w:val="1B322098"/>
    <w:rsid w:val="1B580E1B"/>
    <w:rsid w:val="1BDA39E6"/>
    <w:rsid w:val="1C197E29"/>
    <w:rsid w:val="1C2F1FCD"/>
    <w:rsid w:val="1C57584E"/>
    <w:rsid w:val="1C6F4FB4"/>
    <w:rsid w:val="1CBB7632"/>
    <w:rsid w:val="1CFD009B"/>
    <w:rsid w:val="1CFE13A0"/>
    <w:rsid w:val="1D1E1D0B"/>
    <w:rsid w:val="1D54432D"/>
    <w:rsid w:val="1D5E26BE"/>
    <w:rsid w:val="1D754862"/>
    <w:rsid w:val="1D8B3234"/>
    <w:rsid w:val="1D8B6A06"/>
    <w:rsid w:val="1DAB4D3C"/>
    <w:rsid w:val="1DE13B91"/>
    <w:rsid w:val="1E0C3ADC"/>
    <w:rsid w:val="1E4D4545"/>
    <w:rsid w:val="1E846C1E"/>
    <w:rsid w:val="1F31003B"/>
    <w:rsid w:val="1F33222D"/>
    <w:rsid w:val="1F5C4703"/>
    <w:rsid w:val="1F936DDB"/>
    <w:rsid w:val="1F9D516C"/>
    <w:rsid w:val="1F9D5911"/>
    <w:rsid w:val="1FA86D80"/>
    <w:rsid w:val="1FAB2E62"/>
    <w:rsid w:val="1FCA14B3"/>
    <w:rsid w:val="1FD40D0E"/>
    <w:rsid w:val="1FD552C6"/>
    <w:rsid w:val="200A5B20"/>
    <w:rsid w:val="203778E9"/>
    <w:rsid w:val="204B6589"/>
    <w:rsid w:val="204D2AE8"/>
    <w:rsid w:val="210459B8"/>
    <w:rsid w:val="21452025"/>
    <w:rsid w:val="214F03B6"/>
    <w:rsid w:val="217B46FD"/>
    <w:rsid w:val="217C217E"/>
    <w:rsid w:val="21807CCA"/>
    <w:rsid w:val="218965B6"/>
    <w:rsid w:val="22353B2B"/>
    <w:rsid w:val="223F1EBC"/>
    <w:rsid w:val="224A077C"/>
    <w:rsid w:val="225F01F3"/>
    <w:rsid w:val="22754915"/>
    <w:rsid w:val="22773680"/>
    <w:rsid w:val="22B5337F"/>
    <w:rsid w:val="22CB5324"/>
    <w:rsid w:val="22ED32DA"/>
    <w:rsid w:val="230279FC"/>
    <w:rsid w:val="23225D32"/>
    <w:rsid w:val="23443CE8"/>
    <w:rsid w:val="236536BB"/>
    <w:rsid w:val="23906366"/>
    <w:rsid w:val="23B25134"/>
    <w:rsid w:val="23E76D75"/>
    <w:rsid w:val="240772AA"/>
    <w:rsid w:val="243D3F00"/>
    <w:rsid w:val="24531927"/>
    <w:rsid w:val="24683E4B"/>
    <w:rsid w:val="24952391"/>
    <w:rsid w:val="24955C14"/>
    <w:rsid w:val="24EB0BA1"/>
    <w:rsid w:val="251870E7"/>
    <w:rsid w:val="25285B24"/>
    <w:rsid w:val="252C160A"/>
    <w:rsid w:val="25415D2D"/>
    <w:rsid w:val="254519CA"/>
    <w:rsid w:val="25795BD8"/>
    <w:rsid w:val="25A30350"/>
    <w:rsid w:val="25C94A62"/>
    <w:rsid w:val="25EF714A"/>
    <w:rsid w:val="25F954DB"/>
    <w:rsid w:val="26024DD2"/>
    <w:rsid w:val="26102F02"/>
    <w:rsid w:val="26105100"/>
    <w:rsid w:val="261415CE"/>
    <w:rsid w:val="268705C2"/>
    <w:rsid w:val="26C848AF"/>
    <w:rsid w:val="26CB5CEA"/>
    <w:rsid w:val="26D32C40"/>
    <w:rsid w:val="26DE0FD1"/>
    <w:rsid w:val="273419E0"/>
    <w:rsid w:val="274B7407"/>
    <w:rsid w:val="2752673C"/>
    <w:rsid w:val="278C7E70"/>
    <w:rsid w:val="27901BC1"/>
    <w:rsid w:val="281954D5"/>
    <w:rsid w:val="282E547B"/>
    <w:rsid w:val="283059FA"/>
    <w:rsid w:val="28307FE2"/>
    <w:rsid w:val="284272CC"/>
    <w:rsid w:val="2845181D"/>
    <w:rsid w:val="28855E8A"/>
    <w:rsid w:val="2892191C"/>
    <w:rsid w:val="28C668F3"/>
    <w:rsid w:val="28C725D5"/>
    <w:rsid w:val="28DD6A42"/>
    <w:rsid w:val="28F22C3A"/>
    <w:rsid w:val="28F306BC"/>
    <w:rsid w:val="29084DDE"/>
    <w:rsid w:val="291369F2"/>
    <w:rsid w:val="291D7302"/>
    <w:rsid w:val="293272A7"/>
    <w:rsid w:val="29453572"/>
    <w:rsid w:val="29596B3F"/>
    <w:rsid w:val="295E35EE"/>
    <w:rsid w:val="295E7D6B"/>
    <w:rsid w:val="2969197F"/>
    <w:rsid w:val="29D76728"/>
    <w:rsid w:val="29F71E44"/>
    <w:rsid w:val="2A0C1188"/>
    <w:rsid w:val="2A4370E4"/>
    <w:rsid w:val="2A8F5EDF"/>
    <w:rsid w:val="2ADD3EA5"/>
    <w:rsid w:val="2AE546EF"/>
    <w:rsid w:val="2AE568ED"/>
    <w:rsid w:val="2AF04C7E"/>
    <w:rsid w:val="2AFB6893"/>
    <w:rsid w:val="2B3C72FC"/>
    <w:rsid w:val="2B47568D"/>
    <w:rsid w:val="2B5272A1"/>
    <w:rsid w:val="2B613118"/>
    <w:rsid w:val="2B762613"/>
    <w:rsid w:val="2B9E191F"/>
    <w:rsid w:val="2BA8442D"/>
    <w:rsid w:val="2BBF4052"/>
    <w:rsid w:val="2BD40774"/>
    <w:rsid w:val="2BEB619B"/>
    <w:rsid w:val="2C1B01FD"/>
    <w:rsid w:val="2C312D46"/>
    <w:rsid w:val="2C6073D7"/>
    <w:rsid w:val="2C773801"/>
    <w:rsid w:val="2C8D37A6"/>
    <w:rsid w:val="2CAD0033"/>
    <w:rsid w:val="2CC35E7E"/>
    <w:rsid w:val="2D036C68"/>
    <w:rsid w:val="2D0F4C79"/>
    <w:rsid w:val="2D1026FA"/>
    <w:rsid w:val="2D2C22D1"/>
    <w:rsid w:val="2D4C5A87"/>
    <w:rsid w:val="2D71729C"/>
    <w:rsid w:val="2D7D7EC1"/>
    <w:rsid w:val="2D9177D0"/>
    <w:rsid w:val="2E2831C7"/>
    <w:rsid w:val="2E296A4A"/>
    <w:rsid w:val="2E7510C8"/>
    <w:rsid w:val="2E932CFE"/>
    <w:rsid w:val="2E9F2F97"/>
    <w:rsid w:val="2EEB458A"/>
    <w:rsid w:val="2F02092C"/>
    <w:rsid w:val="2F0C34E0"/>
    <w:rsid w:val="2F2346E4"/>
    <w:rsid w:val="2F4E2FA9"/>
    <w:rsid w:val="2F6376CB"/>
    <w:rsid w:val="2F642F4F"/>
    <w:rsid w:val="2F835A02"/>
    <w:rsid w:val="2FA45F37"/>
    <w:rsid w:val="2FC51CEF"/>
    <w:rsid w:val="2FDC6090"/>
    <w:rsid w:val="30110AE9"/>
    <w:rsid w:val="30146461"/>
    <w:rsid w:val="30534DD6"/>
    <w:rsid w:val="305D3167"/>
    <w:rsid w:val="307D149D"/>
    <w:rsid w:val="308229B3"/>
    <w:rsid w:val="308974AE"/>
    <w:rsid w:val="3104167D"/>
    <w:rsid w:val="31123513"/>
    <w:rsid w:val="31416C5C"/>
    <w:rsid w:val="316C3324"/>
    <w:rsid w:val="31791955"/>
    <w:rsid w:val="31A46D01"/>
    <w:rsid w:val="31F500A1"/>
    <w:rsid w:val="321C1E43"/>
    <w:rsid w:val="32460A89"/>
    <w:rsid w:val="32506E1A"/>
    <w:rsid w:val="32724DD0"/>
    <w:rsid w:val="328714F2"/>
    <w:rsid w:val="32A77828"/>
    <w:rsid w:val="32C957DF"/>
    <w:rsid w:val="32D90B86"/>
    <w:rsid w:val="32E80292"/>
    <w:rsid w:val="330A6248"/>
    <w:rsid w:val="331F61ED"/>
    <w:rsid w:val="3334290F"/>
    <w:rsid w:val="33766BFC"/>
    <w:rsid w:val="340B1727"/>
    <w:rsid w:val="34196405"/>
    <w:rsid w:val="3424001A"/>
    <w:rsid w:val="343625FB"/>
    <w:rsid w:val="34504411"/>
    <w:rsid w:val="34630E03"/>
    <w:rsid w:val="346F6E14"/>
    <w:rsid w:val="349B0F5D"/>
    <w:rsid w:val="34F23B6A"/>
    <w:rsid w:val="35121EA0"/>
    <w:rsid w:val="35260FC4"/>
    <w:rsid w:val="353201D7"/>
    <w:rsid w:val="35335C58"/>
    <w:rsid w:val="35740C40"/>
    <w:rsid w:val="35A04F88"/>
    <w:rsid w:val="35B67B47"/>
    <w:rsid w:val="35E037F3"/>
    <w:rsid w:val="35EF7C8A"/>
    <w:rsid w:val="35F75996"/>
    <w:rsid w:val="36160449"/>
    <w:rsid w:val="361A7245"/>
    <w:rsid w:val="362D5E70"/>
    <w:rsid w:val="363101ED"/>
    <w:rsid w:val="3647586B"/>
    <w:rsid w:val="364D63A5"/>
    <w:rsid w:val="365269FF"/>
    <w:rsid w:val="36874DFF"/>
    <w:rsid w:val="36A43530"/>
    <w:rsid w:val="36A46DB4"/>
    <w:rsid w:val="36B27922"/>
    <w:rsid w:val="36B934D6"/>
    <w:rsid w:val="36E5781D"/>
    <w:rsid w:val="36F8676D"/>
    <w:rsid w:val="37111966"/>
    <w:rsid w:val="37202F54"/>
    <w:rsid w:val="379D6FCC"/>
    <w:rsid w:val="37A92DDE"/>
    <w:rsid w:val="37B336EE"/>
    <w:rsid w:val="37D416A4"/>
    <w:rsid w:val="37F479DA"/>
    <w:rsid w:val="3809134E"/>
    <w:rsid w:val="381F40A2"/>
    <w:rsid w:val="382B20B3"/>
    <w:rsid w:val="38315138"/>
    <w:rsid w:val="38402058"/>
    <w:rsid w:val="385507AA"/>
    <w:rsid w:val="3860038E"/>
    <w:rsid w:val="386B671F"/>
    <w:rsid w:val="38764AB1"/>
    <w:rsid w:val="387821B2"/>
    <w:rsid w:val="38784874"/>
    <w:rsid w:val="389040DD"/>
    <w:rsid w:val="38A90C5F"/>
    <w:rsid w:val="38CE513F"/>
    <w:rsid w:val="38D871B6"/>
    <w:rsid w:val="38EE3475"/>
    <w:rsid w:val="39163E0E"/>
    <w:rsid w:val="39181C0E"/>
    <w:rsid w:val="3919034D"/>
    <w:rsid w:val="39255B4E"/>
    <w:rsid w:val="392F3EDF"/>
    <w:rsid w:val="3991390B"/>
    <w:rsid w:val="399B4893"/>
    <w:rsid w:val="39C507D5"/>
    <w:rsid w:val="39CF5889"/>
    <w:rsid w:val="39D236E8"/>
    <w:rsid w:val="3A2940F7"/>
    <w:rsid w:val="3A5C5898"/>
    <w:rsid w:val="3A6A61E5"/>
    <w:rsid w:val="3A9F2E3C"/>
    <w:rsid w:val="3AA2053D"/>
    <w:rsid w:val="3AC10DF2"/>
    <w:rsid w:val="3B22497D"/>
    <w:rsid w:val="3B227B92"/>
    <w:rsid w:val="3B2D5F23"/>
    <w:rsid w:val="3B6405FB"/>
    <w:rsid w:val="3B8443B3"/>
    <w:rsid w:val="3B9968D7"/>
    <w:rsid w:val="3BB02C79"/>
    <w:rsid w:val="3BB106FB"/>
    <w:rsid w:val="3BBA100A"/>
    <w:rsid w:val="3BFD2D78"/>
    <w:rsid w:val="3C520284"/>
    <w:rsid w:val="3C535D05"/>
    <w:rsid w:val="3CE974FE"/>
    <w:rsid w:val="3D09183B"/>
    <w:rsid w:val="3D0B54B4"/>
    <w:rsid w:val="3D407F0C"/>
    <w:rsid w:val="3D61263F"/>
    <w:rsid w:val="3D8C4FEC"/>
    <w:rsid w:val="3DBF303E"/>
    <w:rsid w:val="3E0456CC"/>
    <w:rsid w:val="3E0F72E0"/>
    <w:rsid w:val="3E317495"/>
    <w:rsid w:val="3E507D4A"/>
    <w:rsid w:val="3E7B4411"/>
    <w:rsid w:val="3E9D45C5"/>
    <w:rsid w:val="3ECC7AD8"/>
    <w:rsid w:val="3ED42521"/>
    <w:rsid w:val="3F2A54AE"/>
    <w:rsid w:val="3F6B5F18"/>
    <w:rsid w:val="3F8B424E"/>
    <w:rsid w:val="3F9625DF"/>
    <w:rsid w:val="3FED2FEE"/>
    <w:rsid w:val="4015208E"/>
    <w:rsid w:val="402E72DA"/>
    <w:rsid w:val="403A30ED"/>
    <w:rsid w:val="405939A2"/>
    <w:rsid w:val="40857CE9"/>
    <w:rsid w:val="40BE7563"/>
    <w:rsid w:val="40C60753"/>
    <w:rsid w:val="40D16AE4"/>
    <w:rsid w:val="40E63206"/>
    <w:rsid w:val="40EE2700"/>
    <w:rsid w:val="412874F2"/>
    <w:rsid w:val="415E1BCB"/>
    <w:rsid w:val="41741B70"/>
    <w:rsid w:val="417E7F01"/>
    <w:rsid w:val="41934623"/>
    <w:rsid w:val="41C0096A"/>
    <w:rsid w:val="420C2749"/>
    <w:rsid w:val="42204A3A"/>
    <w:rsid w:val="423676B0"/>
    <w:rsid w:val="426339F7"/>
    <w:rsid w:val="42780119"/>
    <w:rsid w:val="428377AF"/>
    <w:rsid w:val="42985759"/>
    <w:rsid w:val="429960CF"/>
    <w:rsid w:val="43254DBA"/>
    <w:rsid w:val="43311780"/>
    <w:rsid w:val="43677A21"/>
    <w:rsid w:val="43B3461E"/>
    <w:rsid w:val="4409502C"/>
    <w:rsid w:val="440A08B0"/>
    <w:rsid w:val="44146C41"/>
    <w:rsid w:val="442B2FE3"/>
    <w:rsid w:val="44D84400"/>
    <w:rsid w:val="44E32791"/>
    <w:rsid w:val="44F92736"/>
    <w:rsid w:val="44FE1514"/>
    <w:rsid w:val="450843D7"/>
    <w:rsid w:val="452E518F"/>
    <w:rsid w:val="452F4E0F"/>
    <w:rsid w:val="45493CCA"/>
    <w:rsid w:val="456552E9"/>
    <w:rsid w:val="456F5BF8"/>
    <w:rsid w:val="4585361F"/>
    <w:rsid w:val="4586581D"/>
    <w:rsid w:val="4587329F"/>
    <w:rsid w:val="459B1F40"/>
    <w:rsid w:val="45FD4563"/>
    <w:rsid w:val="460728F4"/>
    <w:rsid w:val="46120628"/>
    <w:rsid w:val="463333B8"/>
    <w:rsid w:val="46336C3B"/>
    <w:rsid w:val="465F0D84"/>
    <w:rsid w:val="46691693"/>
    <w:rsid w:val="469775D0"/>
    <w:rsid w:val="46DC154C"/>
    <w:rsid w:val="46EB2B66"/>
    <w:rsid w:val="47423575"/>
    <w:rsid w:val="4764152B"/>
    <w:rsid w:val="477A221E"/>
    <w:rsid w:val="47AC4A38"/>
    <w:rsid w:val="47BB79BB"/>
    <w:rsid w:val="47DA0270"/>
    <w:rsid w:val="480A4780"/>
    <w:rsid w:val="480D1AA5"/>
    <w:rsid w:val="4826706B"/>
    <w:rsid w:val="483D5387"/>
    <w:rsid w:val="48690DD9"/>
    <w:rsid w:val="4888168E"/>
    <w:rsid w:val="48B019F8"/>
    <w:rsid w:val="48C26E53"/>
    <w:rsid w:val="48C920F7"/>
    <w:rsid w:val="48F467BF"/>
    <w:rsid w:val="48F5643E"/>
    <w:rsid w:val="49121A25"/>
    <w:rsid w:val="492A0E97"/>
    <w:rsid w:val="492B471A"/>
    <w:rsid w:val="49504381"/>
    <w:rsid w:val="49626DF3"/>
    <w:rsid w:val="496C5184"/>
    <w:rsid w:val="49773515"/>
    <w:rsid w:val="49793A2E"/>
    <w:rsid w:val="49822BAA"/>
    <w:rsid w:val="49B83F7E"/>
    <w:rsid w:val="49C37906"/>
    <w:rsid w:val="49C76516"/>
    <w:rsid w:val="49D97D36"/>
    <w:rsid w:val="49E4194A"/>
    <w:rsid w:val="49ED225A"/>
    <w:rsid w:val="4A0B07B3"/>
    <w:rsid w:val="4A0F0210"/>
    <w:rsid w:val="4A1A079F"/>
    <w:rsid w:val="4A244932"/>
    <w:rsid w:val="4A500C79"/>
    <w:rsid w:val="4A5B700A"/>
    <w:rsid w:val="4A7B44BC"/>
    <w:rsid w:val="4ADC40E1"/>
    <w:rsid w:val="4AF045AD"/>
    <w:rsid w:val="4AFE2097"/>
    <w:rsid w:val="4B1367B9"/>
    <w:rsid w:val="4B1E4B4A"/>
    <w:rsid w:val="4B547222"/>
    <w:rsid w:val="4B5F3364"/>
    <w:rsid w:val="4B9B00A5"/>
    <w:rsid w:val="4BA17322"/>
    <w:rsid w:val="4BB61845"/>
    <w:rsid w:val="4BC15658"/>
    <w:rsid w:val="4BC9374A"/>
    <w:rsid w:val="4C0360C1"/>
    <w:rsid w:val="4C210095"/>
    <w:rsid w:val="4C4423AE"/>
    <w:rsid w:val="4C632C63"/>
    <w:rsid w:val="4C642AC7"/>
    <w:rsid w:val="4C6E0FF4"/>
    <w:rsid w:val="4C787385"/>
    <w:rsid w:val="4C9C5D66"/>
    <w:rsid w:val="4C9C6BEF"/>
    <w:rsid w:val="4CCA607B"/>
    <w:rsid w:val="4CD30948"/>
    <w:rsid w:val="4CDB5DA5"/>
    <w:rsid w:val="4CE679B9"/>
    <w:rsid w:val="4D077EEE"/>
    <w:rsid w:val="4D2607A2"/>
    <w:rsid w:val="4D280422"/>
    <w:rsid w:val="4D3E5E49"/>
    <w:rsid w:val="4D6555DF"/>
    <w:rsid w:val="4D8F23AB"/>
    <w:rsid w:val="4D8F3FD8"/>
    <w:rsid w:val="4D935553"/>
    <w:rsid w:val="4D940DD6"/>
    <w:rsid w:val="4DAA76F7"/>
    <w:rsid w:val="4DEB39E3"/>
    <w:rsid w:val="4E053BE5"/>
    <w:rsid w:val="4E574397"/>
    <w:rsid w:val="4E8225B1"/>
    <w:rsid w:val="4E8406DF"/>
    <w:rsid w:val="4EC436C7"/>
    <w:rsid w:val="4ECF38DB"/>
    <w:rsid w:val="4EDA47E4"/>
    <w:rsid w:val="4EDA586A"/>
    <w:rsid w:val="4EF9611F"/>
    <w:rsid w:val="4F252413"/>
    <w:rsid w:val="4F252466"/>
    <w:rsid w:val="4F281692"/>
    <w:rsid w:val="4F37379E"/>
    <w:rsid w:val="4F506B2E"/>
    <w:rsid w:val="4F5E4F18"/>
    <w:rsid w:val="4F714AE4"/>
    <w:rsid w:val="4F871206"/>
    <w:rsid w:val="4F912E1A"/>
    <w:rsid w:val="4F9C11AB"/>
    <w:rsid w:val="4FA61409"/>
    <w:rsid w:val="4FBE1360"/>
    <w:rsid w:val="4FC854F3"/>
    <w:rsid w:val="4FCF047D"/>
    <w:rsid w:val="4FD33884"/>
    <w:rsid w:val="4FD41305"/>
    <w:rsid w:val="4FDE7696"/>
    <w:rsid w:val="4FE56C89"/>
    <w:rsid w:val="4FF17EF4"/>
    <w:rsid w:val="50310152"/>
    <w:rsid w:val="50385B68"/>
    <w:rsid w:val="506C277D"/>
    <w:rsid w:val="508071D7"/>
    <w:rsid w:val="508D0734"/>
    <w:rsid w:val="50C20F8E"/>
    <w:rsid w:val="50C2570B"/>
    <w:rsid w:val="50E23A41"/>
    <w:rsid w:val="50E336C1"/>
    <w:rsid w:val="51063B27"/>
    <w:rsid w:val="5119199D"/>
    <w:rsid w:val="5138705E"/>
    <w:rsid w:val="514F07F2"/>
    <w:rsid w:val="515F5A90"/>
    <w:rsid w:val="516F6B28"/>
    <w:rsid w:val="516F735F"/>
    <w:rsid w:val="518F4E5F"/>
    <w:rsid w:val="51C67537"/>
    <w:rsid w:val="51D13349"/>
    <w:rsid w:val="51D14FA1"/>
    <w:rsid w:val="52077FA0"/>
    <w:rsid w:val="52121BB5"/>
    <w:rsid w:val="52781284"/>
    <w:rsid w:val="52AB6D8B"/>
    <w:rsid w:val="52B54C41"/>
    <w:rsid w:val="52D576F4"/>
    <w:rsid w:val="52EB3A96"/>
    <w:rsid w:val="530B1DCC"/>
    <w:rsid w:val="530C261E"/>
    <w:rsid w:val="532B0103"/>
    <w:rsid w:val="53383B95"/>
    <w:rsid w:val="53F16BC7"/>
    <w:rsid w:val="53F91160"/>
    <w:rsid w:val="53FA3C53"/>
    <w:rsid w:val="541816B1"/>
    <w:rsid w:val="54267F9B"/>
    <w:rsid w:val="54684287"/>
    <w:rsid w:val="547E642B"/>
    <w:rsid w:val="54864E33"/>
    <w:rsid w:val="549A5EE9"/>
    <w:rsid w:val="54AA2BA1"/>
    <w:rsid w:val="54DF2FCC"/>
    <w:rsid w:val="55145A25"/>
    <w:rsid w:val="551556A5"/>
    <w:rsid w:val="55206F60"/>
    <w:rsid w:val="55563F10"/>
    <w:rsid w:val="5557610E"/>
    <w:rsid w:val="55AB1DB1"/>
    <w:rsid w:val="55CD4E53"/>
    <w:rsid w:val="55D831E4"/>
    <w:rsid w:val="55ED318A"/>
    <w:rsid w:val="56012767"/>
    <w:rsid w:val="561B4F52"/>
    <w:rsid w:val="564F1F29"/>
    <w:rsid w:val="565079AB"/>
    <w:rsid w:val="565A5D3C"/>
    <w:rsid w:val="5670465C"/>
    <w:rsid w:val="56AA5F00"/>
    <w:rsid w:val="56BC6CDA"/>
    <w:rsid w:val="56C4574F"/>
    <w:rsid w:val="56D133FC"/>
    <w:rsid w:val="57081358"/>
    <w:rsid w:val="574A1DC1"/>
    <w:rsid w:val="574E2350"/>
    <w:rsid w:val="577F481A"/>
    <w:rsid w:val="5796443F"/>
    <w:rsid w:val="57A027D0"/>
    <w:rsid w:val="57A45FD1"/>
    <w:rsid w:val="57AB0B61"/>
    <w:rsid w:val="57ED4E4E"/>
    <w:rsid w:val="58021570"/>
    <w:rsid w:val="58125335"/>
    <w:rsid w:val="58591F7E"/>
    <w:rsid w:val="585D50A2"/>
    <w:rsid w:val="586276B4"/>
    <w:rsid w:val="58A600B4"/>
    <w:rsid w:val="591B3341"/>
    <w:rsid w:val="59314D3B"/>
    <w:rsid w:val="593276E3"/>
    <w:rsid w:val="59364F2F"/>
    <w:rsid w:val="59487688"/>
    <w:rsid w:val="59537C18"/>
    <w:rsid w:val="59687BBD"/>
    <w:rsid w:val="596F44B8"/>
    <w:rsid w:val="59883525"/>
    <w:rsid w:val="598C2642"/>
    <w:rsid w:val="59A92BA5"/>
    <w:rsid w:val="59BF5D26"/>
    <w:rsid w:val="59F50AA6"/>
    <w:rsid w:val="5A1631D9"/>
    <w:rsid w:val="5A404EEC"/>
    <w:rsid w:val="5A4D36B3"/>
    <w:rsid w:val="5A5A5C2A"/>
    <w:rsid w:val="5A615BD7"/>
    <w:rsid w:val="5A6D3BE8"/>
    <w:rsid w:val="5A793A92"/>
    <w:rsid w:val="5A8D1F1E"/>
    <w:rsid w:val="5AC445F6"/>
    <w:rsid w:val="5ACF2987"/>
    <w:rsid w:val="5AE470AA"/>
    <w:rsid w:val="5B1A7584"/>
    <w:rsid w:val="5B366A85"/>
    <w:rsid w:val="5B490AD6"/>
    <w:rsid w:val="5B705D94"/>
    <w:rsid w:val="5B775AFC"/>
    <w:rsid w:val="5B9C20DB"/>
    <w:rsid w:val="5BB167FD"/>
    <w:rsid w:val="5BB3647D"/>
    <w:rsid w:val="5BC86423"/>
    <w:rsid w:val="5BD56B3C"/>
    <w:rsid w:val="5BDE05C6"/>
    <w:rsid w:val="5BF83382"/>
    <w:rsid w:val="5BFD0E7B"/>
    <w:rsid w:val="5C1F6E31"/>
    <w:rsid w:val="5C201030"/>
    <w:rsid w:val="5C513C06"/>
    <w:rsid w:val="5C6B5C2C"/>
    <w:rsid w:val="5C7752C2"/>
    <w:rsid w:val="5C7C6ED6"/>
    <w:rsid w:val="5CB702A9"/>
    <w:rsid w:val="5CCC024F"/>
    <w:rsid w:val="5CD765E0"/>
    <w:rsid w:val="5CE24971"/>
    <w:rsid w:val="5D5071A3"/>
    <w:rsid w:val="5DAE36E1"/>
    <w:rsid w:val="5DD14279"/>
    <w:rsid w:val="5DDB4B89"/>
    <w:rsid w:val="5DF3600B"/>
    <w:rsid w:val="5E070ED0"/>
    <w:rsid w:val="5E30214A"/>
    <w:rsid w:val="5E731884"/>
    <w:rsid w:val="5ECA2293"/>
    <w:rsid w:val="5EF665DA"/>
    <w:rsid w:val="5F0C077E"/>
    <w:rsid w:val="5F212CA2"/>
    <w:rsid w:val="5F2B1033"/>
    <w:rsid w:val="5F387044"/>
    <w:rsid w:val="5F62370B"/>
    <w:rsid w:val="5F6D1A9C"/>
    <w:rsid w:val="5F7836B0"/>
    <w:rsid w:val="5F89597B"/>
    <w:rsid w:val="5FB9411A"/>
    <w:rsid w:val="5FE307E1"/>
    <w:rsid w:val="5FFA0406"/>
    <w:rsid w:val="5FFA4B83"/>
    <w:rsid w:val="601C2B39"/>
    <w:rsid w:val="60510E15"/>
    <w:rsid w:val="60665537"/>
    <w:rsid w:val="60672FB9"/>
    <w:rsid w:val="609D7C10"/>
    <w:rsid w:val="60B35636"/>
    <w:rsid w:val="60BD5F46"/>
    <w:rsid w:val="60C842D7"/>
    <w:rsid w:val="60D744B8"/>
    <w:rsid w:val="60DE0679"/>
    <w:rsid w:val="610A27C2"/>
    <w:rsid w:val="61146955"/>
    <w:rsid w:val="61226FFC"/>
    <w:rsid w:val="61402C9C"/>
    <w:rsid w:val="61501CF8"/>
    <w:rsid w:val="617556F4"/>
    <w:rsid w:val="62014100"/>
    <w:rsid w:val="622403F1"/>
    <w:rsid w:val="62441245"/>
    <w:rsid w:val="62654FFD"/>
    <w:rsid w:val="627C4C22"/>
    <w:rsid w:val="62D1432C"/>
    <w:rsid w:val="62D21DAE"/>
    <w:rsid w:val="63284D3B"/>
    <w:rsid w:val="63403A6A"/>
    <w:rsid w:val="634B0772"/>
    <w:rsid w:val="637F0FCD"/>
    <w:rsid w:val="63A4399C"/>
    <w:rsid w:val="63F21A12"/>
    <w:rsid w:val="63F7410E"/>
    <w:rsid w:val="64172445"/>
    <w:rsid w:val="64176BC2"/>
    <w:rsid w:val="643D3345"/>
    <w:rsid w:val="644C4E9D"/>
    <w:rsid w:val="64A73402"/>
    <w:rsid w:val="64C47FDF"/>
    <w:rsid w:val="64CD45B8"/>
    <w:rsid w:val="64FD39BC"/>
    <w:rsid w:val="6524032D"/>
    <w:rsid w:val="65244519"/>
    <w:rsid w:val="65310993"/>
    <w:rsid w:val="653A6EBA"/>
    <w:rsid w:val="65441530"/>
    <w:rsid w:val="655F7C2E"/>
    <w:rsid w:val="65724C80"/>
    <w:rsid w:val="65886E23"/>
    <w:rsid w:val="659509E2"/>
    <w:rsid w:val="65960E7B"/>
    <w:rsid w:val="65AE18ED"/>
    <w:rsid w:val="65B456E9"/>
    <w:rsid w:val="65D43A20"/>
    <w:rsid w:val="65DF7832"/>
    <w:rsid w:val="65FC7F22"/>
    <w:rsid w:val="661F281A"/>
    <w:rsid w:val="665057CC"/>
    <w:rsid w:val="66564EF2"/>
    <w:rsid w:val="66A27570"/>
    <w:rsid w:val="66AA7171"/>
    <w:rsid w:val="66CB413B"/>
    <w:rsid w:val="67046310"/>
    <w:rsid w:val="677A2633"/>
    <w:rsid w:val="679C7788"/>
    <w:rsid w:val="67D234E5"/>
    <w:rsid w:val="67F33A1A"/>
    <w:rsid w:val="681364CD"/>
    <w:rsid w:val="684A4429"/>
    <w:rsid w:val="68597D25"/>
    <w:rsid w:val="688C319B"/>
    <w:rsid w:val="68B83318"/>
    <w:rsid w:val="69092373"/>
    <w:rsid w:val="69187F79"/>
    <w:rsid w:val="6923630A"/>
    <w:rsid w:val="692E211D"/>
    <w:rsid w:val="695860A4"/>
    <w:rsid w:val="698450AA"/>
    <w:rsid w:val="698F6CBE"/>
    <w:rsid w:val="69D01878"/>
    <w:rsid w:val="69D07728"/>
    <w:rsid w:val="6A321D4B"/>
    <w:rsid w:val="6A3264C7"/>
    <w:rsid w:val="6A3C4858"/>
    <w:rsid w:val="6AA9520C"/>
    <w:rsid w:val="6AAA4E8C"/>
    <w:rsid w:val="6AB17CEB"/>
    <w:rsid w:val="6AD35DB1"/>
    <w:rsid w:val="6AD51554"/>
    <w:rsid w:val="6B2C79E4"/>
    <w:rsid w:val="6B3602F4"/>
    <w:rsid w:val="6B484200"/>
    <w:rsid w:val="6B7845E0"/>
    <w:rsid w:val="6B8D791B"/>
    <w:rsid w:val="6B8E6784"/>
    <w:rsid w:val="6BAE6CB9"/>
    <w:rsid w:val="6BC333DB"/>
    <w:rsid w:val="6BD845A1"/>
    <w:rsid w:val="6BFA5AB3"/>
    <w:rsid w:val="6C016CC3"/>
    <w:rsid w:val="6C105A58"/>
    <w:rsid w:val="6C264CF2"/>
    <w:rsid w:val="6C475BB2"/>
    <w:rsid w:val="6C50730B"/>
    <w:rsid w:val="6C7727EE"/>
    <w:rsid w:val="6C7D060B"/>
    <w:rsid w:val="6C87087B"/>
    <w:rsid w:val="6C9D0B3F"/>
    <w:rsid w:val="6CB8391E"/>
    <w:rsid w:val="6CC85207"/>
    <w:rsid w:val="6CDE15A9"/>
    <w:rsid w:val="6D0214C1"/>
    <w:rsid w:val="6D4C79DE"/>
    <w:rsid w:val="6D666C89"/>
    <w:rsid w:val="6D742589"/>
    <w:rsid w:val="6D8841F9"/>
    <w:rsid w:val="6DA1296C"/>
    <w:rsid w:val="6DC22EA0"/>
    <w:rsid w:val="6DD85044"/>
    <w:rsid w:val="6E25131E"/>
    <w:rsid w:val="6E280787"/>
    <w:rsid w:val="6E393DE4"/>
    <w:rsid w:val="6E395996"/>
    <w:rsid w:val="6E4F3D89"/>
    <w:rsid w:val="6E9047F2"/>
    <w:rsid w:val="6ED2525C"/>
    <w:rsid w:val="6ED75D9D"/>
    <w:rsid w:val="6EDC35ED"/>
    <w:rsid w:val="6EE855C2"/>
    <w:rsid w:val="6EF21014"/>
    <w:rsid w:val="6EF23592"/>
    <w:rsid w:val="6EFC51A7"/>
    <w:rsid w:val="6F0E3945"/>
    <w:rsid w:val="6F1673FC"/>
    <w:rsid w:val="6F21223C"/>
    <w:rsid w:val="6F235605"/>
    <w:rsid w:val="6F333FFC"/>
    <w:rsid w:val="6F3E5C10"/>
    <w:rsid w:val="6F483FA1"/>
    <w:rsid w:val="6F7F6679"/>
    <w:rsid w:val="6F8B5D0F"/>
    <w:rsid w:val="6FAA2D41"/>
    <w:rsid w:val="6FBD1DEF"/>
    <w:rsid w:val="6FCA1077"/>
    <w:rsid w:val="6FE05419"/>
    <w:rsid w:val="6FE12E9B"/>
    <w:rsid w:val="6FEC4B65"/>
    <w:rsid w:val="7003433D"/>
    <w:rsid w:val="70241EF7"/>
    <w:rsid w:val="70427A3C"/>
    <w:rsid w:val="704D7F6C"/>
    <w:rsid w:val="7053280F"/>
    <w:rsid w:val="706E0500"/>
    <w:rsid w:val="708304A5"/>
    <w:rsid w:val="70886D50"/>
    <w:rsid w:val="70AE4B6D"/>
    <w:rsid w:val="71263532"/>
    <w:rsid w:val="71267CAF"/>
    <w:rsid w:val="71A87053"/>
    <w:rsid w:val="71DE2CE0"/>
    <w:rsid w:val="71E91071"/>
    <w:rsid w:val="722A1ADB"/>
    <w:rsid w:val="722B755C"/>
    <w:rsid w:val="72601FB5"/>
    <w:rsid w:val="726141B3"/>
    <w:rsid w:val="727B6BB1"/>
    <w:rsid w:val="72A72475"/>
    <w:rsid w:val="72CD4B67"/>
    <w:rsid w:val="73303587"/>
    <w:rsid w:val="735B7C4E"/>
    <w:rsid w:val="73651863"/>
    <w:rsid w:val="739C06B8"/>
    <w:rsid w:val="73DC4D25"/>
    <w:rsid w:val="7408106C"/>
    <w:rsid w:val="74830BBC"/>
    <w:rsid w:val="748B700A"/>
    <w:rsid w:val="74964153"/>
    <w:rsid w:val="74B13A66"/>
    <w:rsid w:val="74CD42AD"/>
    <w:rsid w:val="74D74BBC"/>
    <w:rsid w:val="74EC084E"/>
    <w:rsid w:val="74F13B03"/>
    <w:rsid w:val="75011284"/>
    <w:rsid w:val="750D0FB2"/>
    <w:rsid w:val="7523723A"/>
    <w:rsid w:val="75261BF4"/>
    <w:rsid w:val="7538395C"/>
    <w:rsid w:val="753A1D06"/>
    <w:rsid w:val="754E3901"/>
    <w:rsid w:val="756F76B9"/>
    <w:rsid w:val="75845FDA"/>
    <w:rsid w:val="759926FC"/>
    <w:rsid w:val="75CB345F"/>
    <w:rsid w:val="75CF09D8"/>
    <w:rsid w:val="75DA47EA"/>
    <w:rsid w:val="75DB69E8"/>
    <w:rsid w:val="75F1698E"/>
    <w:rsid w:val="76072D30"/>
    <w:rsid w:val="764B1600"/>
    <w:rsid w:val="76DE2860"/>
    <w:rsid w:val="76E646FE"/>
    <w:rsid w:val="770B4B5C"/>
    <w:rsid w:val="770B5CB0"/>
    <w:rsid w:val="77481030"/>
    <w:rsid w:val="776158EB"/>
    <w:rsid w:val="778E6C14"/>
    <w:rsid w:val="77A26354"/>
    <w:rsid w:val="77B95F79"/>
    <w:rsid w:val="77C4430A"/>
    <w:rsid w:val="783A3050"/>
    <w:rsid w:val="784513E1"/>
    <w:rsid w:val="78576C0B"/>
    <w:rsid w:val="78711EA5"/>
    <w:rsid w:val="787B48AE"/>
    <w:rsid w:val="787C0501"/>
    <w:rsid w:val="787D153B"/>
    <w:rsid w:val="789D7871"/>
    <w:rsid w:val="78A60180"/>
    <w:rsid w:val="78E113B6"/>
    <w:rsid w:val="79096BA0"/>
    <w:rsid w:val="79187CFE"/>
    <w:rsid w:val="79425F0F"/>
    <w:rsid w:val="79591BE5"/>
    <w:rsid w:val="798303CA"/>
    <w:rsid w:val="79ED2696"/>
    <w:rsid w:val="7A506EB7"/>
    <w:rsid w:val="7A6413DB"/>
    <w:rsid w:val="7A6E38A0"/>
    <w:rsid w:val="7A79662E"/>
    <w:rsid w:val="7A9D67A7"/>
    <w:rsid w:val="7AAF6E79"/>
    <w:rsid w:val="7AB03A59"/>
    <w:rsid w:val="7AD32A5B"/>
    <w:rsid w:val="7AE05C9F"/>
    <w:rsid w:val="7AE83BB3"/>
    <w:rsid w:val="7AED4F90"/>
    <w:rsid w:val="7B070BE4"/>
    <w:rsid w:val="7B074467"/>
    <w:rsid w:val="7B690C89"/>
    <w:rsid w:val="7B7F75A9"/>
    <w:rsid w:val="7BA70768"/>
    <w:rsid w:val="7BAA3C71"/>
    <w:rsid w:val="7BAE62A6"/>
    <w:rsid w:val="7BD40338"/>
    <w:rsid w:val="7BF662EE"/>
    <w:rsid w:val="7C0B2A10"/>
    <w:rsid w:val="7C6347E5"/>
    <w:rsid w:val="7C985AF7"/>
    <w:rsid w:val="7CB83E2E"/>
    <w:rsid w:val="7CB918AF"/>
    <w:rsid w:val="7CD41906"/>
    <w:rsid w:val="7CEF1D89"/>
    <w:rsid w:val="7CFA011A"/>
    <w:rsid w:val="7D3B0B84"/>
    <w:rsid w:val="7D512D27"/>
    <w:rsid w:val="7D570460"/>
    <w:rsid w:val="7D66330D"/>
    <w:rsid w:val="7D937014"/>
    <w:rsid w:val="7DD47A7D"/>
    <w:rsid w:val="7DE62836"/>
    <w:rsid w:val="7DE91FA1"/>
    <w:rsid w:val="7E006343"/>
    <w:rsid w:val="7E013DC5"/>
    <w:rsid w:val="7E062FFE"/>
    <w:rsid w:val="7E6C6CF7"/>
    <w:rsid w:val="7E8C502E"/>
    <w:rsid w:val="7E973410"/>
    <w:rsid w:val="7EAB7AE1"/>
    <w:rsid w:val="7EE221B9"/>
    <w:rsid w:val="7EE37C3B"/>
    <w:rsid w:val="7F392BC8"/>
    <w:rsid w:val="7F7052A0"/>
    <w:rsid w:val="7FA83E85"/>
    <w:rsid w:val="7FBD539F"/>
    <w:rsid w:val="7FC71532"/>
    <w:rsid w:val="7FDC5C54"/>
    <w:rsid w:val="7FDC6D78"/>
    <w:rsid w:val="7FDD7E53"/>
    <w:rsid w:val="7FF0014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94"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annotation text" w:semiHidden="0"/>
    <w:lsdException w:name="header" w:semiHidden="0"/>
    <w:lsdException w:name="footer" w:semiHidden="0"/>
    <w:lsdException w:name="caption" w:semiHidden="0" w:uiPriority="35" w:unhideWhenUsed="0" w:qFormat="1"/>
    <w:lsdException w:name="footnote reference" w:semiHidden="0"/>
    <w:lsdException w:name="page number" w:semiHidden="0" w:uiPriority="0" w:unhideWhenUsed="0"/>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qFormat="1"/>
    <w:lsdException w:name="Balloon Text" w:semiHidden="0"/>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3">
    <w:name w:val="heading 3"/>
    <w:basedOn w:val="a"/>
    <w:next w:val="a"/>
    <w:uiPriority w:val="9"/>
    <w:qFormat/>
    <w:pPr>
      <w:keepNext/>
      <w:keepLines/>
      <w:tabs>
        <w:tab w:val="left" w:pos="0"/>
      </w:tabs>
      <w:jc w:val="left"/>
      <w:outlineLvl w:val="2"/>
    </w:pPr>
    <w:rPr>
      <w:rFonts w:ascii="黑体" w:hAnsi="黑体" w:cs="黑体"/>
      <w:b/>
      <w:szCs w:val="32"/>
    </w:rPr>
  </w:style>
  <w:style w:type="character" w:default="1" w:styleId="a0">
    <w:name w:val="Default Paragraph Font"/>
    <w:uiPriority w:val="1"/>
    <w:unhideWhenUsed/>
  </w:style>
  <w:style w:type="table" w:default="1" w:styleId="a1">
    <w:name w:val="Normal Table"/>
    <w:uiPriority w:val="99"/>
    <w:unhideWhenUsed/>
    <w:qFormat/>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character" w:styleId="a4">
    <w:name w:val="footnote reference"/>
    <w:uiPriority w:val="99"/>
    <w:unhideWhenUsed/>
    <w:rPr>
      <w:vertAlign w:val="superscript"/>
    </w:rPr>
  </w:style>
  <w:style w:type="character" w:customStyle="1" w:styleId="Char">
    <w:name w:val="批注框文本 Char"/>
    <w:basedOn w:val="a0"/>
    <w:link w:val="a5"/>
    <w:uiPriority w:val="99"/>
    <w:semiHidden/>
    <w:rPr>
      <w:sz w:val="18"/>
      <w:szCs w:val="18"/>
    </w:rPr>
  </w:style>
  <w:style w:type="character" w:customStyle="1" w:styleId="Char0">
    <w:name w:val="页脚 Char"/>
    <w:basedOn w:val="a0"/>
    <w:link w:val="a6"/>
    <w:uiPriority w:val="99"/>
    <w:rPr>
      <w:kern w:val="2"/>
      <w:sz w:val="18"/>
      <w:szCs w:val="18"/>
    </w:rPr>
  </w:style>
  <w:style w:type="character" w:customStyle="1" w:styleId="1Char">
    <w:name w:val="标题 1 Char"/>
    <w:basedOn w:val="a0"/>
    <w:link w:val="1"/>
    <w:uiPriority w:val="9"/>
    <w:rPr>
      <w:b/>
      <w:bCs/>
      <w:kern w:val="44"/>
      <w:sz w:val="44"/>
      <w:szCs w:val="44"/>
    </w:rPr>
  </w:style>
  <w:style w:type="character" w:customStyle="1" w:styleId="Char1">
    <w:name w:val="页眉 Char"/>
    <w:basedOn w:val="a0"/>
    <w:link w:val="a7"/>
    <w:uiPriority w:val="99"/>
    <w:rPr>
      <w:kern w:val="2"/>
      <w:sz w:val="18"/>
      <w:szCs w:val="18"/>
    </w:rPr>
  </w:style>
  <w:style w:type="paragraph" w:styleId="2">
    <w:name w:val="toc 2"/>
    <w:basedOn w:val="a"/>
    <w:next w:val="a"/>
    <w:uiPriority w:val="39"/>
    <w:unhideWhenUsed/>
    <w:qFormat/>
    <w:pPr>
      <w:widowControl/>
      <w:spacing w:after="100" w:line="276" w:lineRule="auto"/>
      <w:ind w:left="220"/>
      <w:jc w:val="left"/>
    </w:pPr>
    <w:rPr>
      <w:rFonts w:ascii="Calibri" w:hAnsi="Calibri"/>
      <w:kern w:val="0"/>
      <w:sz w:val="22"/>
    </w:rPr>
  </w:style>
  <w:style w:type="paragraph" w:styleId="a8">
    <w:name w:val="caption"/>
    <w:basedOn w:val="a"/>
    <w:next w:val="a"/>
    <w:uiPriority w:val="35"/>
    <w:qFormat/>
    <w:pPr>
      <w:ind w:left="420"/>
      <w:jc w:val="center"/>
    </w:pPr>
    <w:rPr>
      <w:rFonts w:ascii="Calibri" w:eastAsia="Calibri" w:hAnsi="Calibri"/>
      <w:b/>
      <w:sz w:val="18"/>
      <w:szCs w:val="18"/>
    </w:rPr>
  </w:style>
  <w:style w:type="paragraph" w:styleId="a5">
    <w:name w:val="Balloon Text"/>
    <w:basedOn w:val="a"/>
    <w:link w:val="Char"/>
    <w:uiPriority w:val="99"/>
    <w:unhideWhenUsed/>
    <w:rPr>
      <w:sz w:val="18"/>
      <w:szCs w:val="18"/>
    </w:rPr>
  </w:style>
  <w:style w:type="paragraph" w:styleId="a7">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9">
    <w:name w:val="footnote text"/>
    <w:basedOn w:val="a"/>
    <w:uiPriority w:val="99"/>
    <w:unhideWhenUsed/>
    <w:pPr>
      <w:snapToGrid w:val="0"/>
      <w:jc w:val="left"/>
    </w:pPr>
    <w:rPr>
      <w:sz w:val="18"/>
      <w:szCs w:val="18"/>
    </w:rPr>
  </w:style>
  <w:style w:type="paragraph" w:styleId="a6">
    <w:name w:val="footer"/>
    <w:basedOn w:val="a"/>
    <w:link w:val="Char0"/>
    <w:uiPriority w:val="99"/>
    <w:unhideWhenUsed/>
    <w:pPr>
      <w:tabs>
        <w:tab w:val="center" w:pos="4153"/>
        <w:tab w:val="right" w:pos="8306"/>
      </w:tabs>
      <w:snapToGrid w:val="0"/>
      <w:jc w:val="left"/>
    </w:pPr>
    <w:rPr>
      <w:sz w:val="18"/>
      <w:szCs w:val="18"/>
    </w:rPr>
  </w:style>
  <w:style w:type="paragraph" w:styleId="10">
    <w:name w:val="toc 1"/>
    <w:basedOn w:val="a"/>
    <w:next w:val="a"/>
    <w:uiPriority w:val="39"/>
    <w:unhideWhenUsed/>
    <w:qFormat/>
    <w:pPr>
      <w:widowControl/>
      <w:spacing w:after="100" w:line="276" w:lineRule="auto"/>
      <w:jc w:val="left"/>
    </w:pPr>
    <w:rPr>
      <w:rFonts w:ascii="Calibri" w:hAnsi="Calibri"/>
      <w:kern w:val="0"/>
      <w:sz w:val="22"/>
    </w:rPr>
  </w:style>
  <w:style w:type="paragraph" w:styleId="aa">
    <w:name w:val="annotation text"/>
    <w:basedOn w:val="a"/>
    <w:uiPriority w:val="99"/>
    <w:unhideWhenUsed/>
    <w:pPr>
      <w:jc w:val="left"/>
    </w:p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rPr>
  </w:style>
  <w:style w:type="paragraph" w:customStyle="1" w:styleId="11">
    <w:name w:val="样式1"/>
    <w:basedOn w:val="a"/>
    <w:qFormat/>
    <w:rPr>
      <w:b/>
    </w:rPr>
  </w:style>
  <w:style w:type="paragraph" w:customStyle="1" w:styleId="Default">
    <w:name w:val="Default"/>
    <w:pPr>
      <w:widowControl w:val="0"/>
      <w:autoSpaceDE w:val="0"/>
      <w:autoSpaceDN w:val="0"/>
      <w:adjustRightInd w:val="0"/>
    </w:pPr>
    <w:rPr>
      <w:rFonts w:ascii="宋体" w:cs="宋体"/>
      <w:color w:val="000000"/>
      <w:sz w:val="24"/>
      <w:szCs w:val="24"/>
    </w:rPr>
  </w:style>
  <w:style w:type="paragraph" w:styleId="ab">
    <w:name w:val="List Paragraph"/>
    <w:basedOn w:val="a"/>
    <w:uiPriority w:val="34"/>
    <w:qFormat/>
    <w:pPr>
      <w:ind w:firstLineChars="200" w:firstLine="420"/>
    </w:pPr>
  </w:style>
  <w:style w:type="paragraph" w:styleId="TOC">
    <w:name w:val="TOC Heading"/>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table" w:customStyle="1" w:styleId="-11">
    <w:name w:val="浅色列表 - 强调文字颜色 11"/>
    <w:basedOn w:val="a1"/>
    <w:uiPriority w:val="61"/>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31">
    <w:name w:val="浅色列表 - 强调文字颜色 31"/>
    <w:basedOn w:val="a1"/>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51">
    <w:name w:val="浅色网格 - 强调文字颜色 51"/>
    <w:basedOn w:val="a1"/>
    <w:uiPriority w:val="62"/>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eastAsia="Tms Rm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l2br w:val="nil"/>
          <w:tr2bl w:val="nil"/>
        </w:tcBorders>
      </w:tcPr>
    </w:tblStylePr>
    <w:tblStylePr w:type="lastRow">
      <w:pPr>
        <w:spacing w:before="0" w:after="0" w:line="240" w:lineRule="auto"/>
      </w:pPr>
      <w:rPr>
        <w:rFonts w:eastAsia="Tms Rm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l2br w:val="nil"/>
          <w:tr2bl w:val="nil"/>
        </w:tcBorders>
      </w:tcPr>
    </w:tblStylePr>
    <w:tblStylePr w:type="firstCol">
      <w:rPr>
        <w:rFonts w:eastAsia="Tms Rmn" w:cs="Times New Roman"/>
        <w:b/>
        <w:bCs/>
      </w:rPr>
    </w:tblStylePr>
    <w:tblStylePr w:type="lastCol">
      <w:rPr>
        <w:rFonts w:eastAsia="Tms Rmn" w:cs="Times New Roman"/>
        <w:b/>
        <w:bCs/>
      </w:rPr>
      <w:tblPr/>
      <w:tcPr>
        <w:tcBorders>
          <w:top w:val="single" w:sz="8" w:space="0" w:color="4BACC6"/>
          <w:left w:val="single" w:sz="8" w:space="0" w:color="4BACC6"/>
          <w:bottom w:val="single" w:sz="8" w:space="0" w:color="4BACC6"/>
          <w:right w:val="single" w:sz="8" w:space="0" w:color="4BACC6"/>
          <w:insideH w:val="nil"/>
          <w:insideV w:val="nil"/>
          <w:tl2br w:val="nil"/>
          <w:tr2bl w:val="nil"/>
        </w:tcBorders>
      </w:tcPr>
    </w:tblStylePr>
    <w:tblStylePr w:type="band1Vert">
      <w:tblPr/>
      <w:tcPr>
        <w:tcBorders>
          <w:top w:val="single" w:sz="8" w:space="0" w:color="4BACC6"/>
          <w:left w:val="single" w:sz="8" w:space="0" w:color="4BACC6"/>
          <w:bottom w:val="single" w:sz="8" w:space="0" w:color="4BACC6"/>
          <w:right w:val="single" w:sz="8" w:space="0" w:color="4BACC6"/>
          <w:insideH w:val="nil"/>
          <w:insideV w:val="nil"/>
          <w:tl2br w:val="nil"/>
          <w:tr2bl w:val="nil"/>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H w:val="nil"/>
          <w:insideV w:val="single" w:sz="8" w:space="0" w:color="4BACC6"/>
          <w:tl2br w:val="nil"/>
          <w:tr2bl w:val="nil"/>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H w:val="nil"/>
          <w:insideV w:val="single" w:sz="8" w:space="0" w:color="4BACC6"/>
          <w:tl2br w:val="nil"/>
          <w:tr2bl w:val="nil"/>
        </w:tcBorders>
      </w:tcPr>
    </w:tblStylePr>
  </w:style>
  <w:style w:type="table" w:customStyle="1" w:styleId="-110">
    <w:name w:val="浅色底纹 - 强调文字颜色 11"/>
    <w:basedOn w:val="a1"/>
    <w:uiPriority w:val="60"/>
    <w:rPr>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styleId="ac">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浅色列表 - 强调文字颜色 41"/>
    <w:basedOn w:val="a1"/>
    <w:uiPriority w:val="61"/>
    <w:tblPr>
      <w:tblStyleRowBandSize w:val="1"/>
      <w:tblStyleColBandSize w:val="1"/>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insideH w:val="nil"/>
          <w:insideV w:val="nil"/>
          <w:tl2br w:val="nil"/>
          <w:tr2bl w:val="nil"/>
        </w:tcBorders>
      </w:tcPr>
    </w:tblStylePr>
    <w:tblStylePr w:type="band1Horz">
      <w:tblPr/>
      <w:tcPr>
        <w:tcBorders>
          <w:top w:val="single" w:sz="8" w:space="0" w:color="8064A2"/>
          <w:left w:val="single" w:sz="8" w:space="0" w:color="8064A2"/>
          <w:bottom w:val="single" w:sz="8" w:space="0" w:color="8064A2"/>
          <w:right w:val="single" w:sz="8" w:space="0" w:color="8064A2"/>
          <w:insideH w:val="nil"/>
          <w:insideV w:val="nil"/>
          <w:tl2br w:val="nil"/>
          <w:tr2bl w:val="nil"/>
        </w:tcBorders>
      </w:tcPr>
    </w:tblStylePr>
  </w:style>
  <w:style w:type="table" w:customStyle="1" w:styleId="12">
    <w:name w:val="浅色底纹1"/>
    <w:basedOn w:val="a1"/>
    <w:uiPriority w:val="60"/>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image" Target="media/image3.emf"/><Relationship Id="rId39" Type="http://schemas.openxmlformats.org/officeDocument/2006/relationships/oleObject" Target="embeddings/oleObject9.bin"/><Relationship Id="rId21" Type="http://schemas.openxmlformats.org/officeDocument/2006/relationships/chart" Target="charts/chart15.xml"/><Relationship Id="rId34" Type="http://schemas.openxmlformats.org/officeDocument/2006/relationships/image" Target="media/image7.emf"/><Relationship Id="rId42" Type="http://schemas.openxmlformats.org/officeDocument/2006/relationships/image" Target="media/image11.emf"/><Relationship Id="rId47" Type="http://schemas.openxmlformats.org/officeDocument/2006/relationships/oleObject" Target="embeddings/oleObject13.bin"/><Relationship Id="rId50" Type="http://schemas.openxmlformats.org/officeDocument/2006/relationships/image" Target="media/image15.emf"/><Relationship Id="rId55" Type="http://schemas.openxmlformats.org/officeDocument/2006/relationships/footer" Target="footer2.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9.emf"/><Relationship Id="rId46"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chart" Target="charts/chart14.xml"/><Relationship Id="rId29" Type="http://schemas.openxmlformats.org/officeDocument/2006/relationships/oleObject" Target="embeddings/oleObject4.bin"/><Relationship Id="rId41" Type="http://schemas.openxmlformats.org/officeDocument/2006/relationships/oleObject" Target="embeddings/oleObject10.bin"/><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image" Target="media/image2.emf"/><Relationship Id="rId32" Type="http://schemas.openxmlformats.org/officeDocument/2006/relationships/image" Target="media/image6.emf"/><Relationship Id="rId37" Type="http://schemas.openxmlformats.org/officeDocument/2006/relationships/oleObject" Target="embeddings/oleObject8.bin"/><Relationship Id="rId40" Type="http://schemas.openxmlformats.org/officeDocument/2006/relationships/image" Target="media/image10.emf"/><Relationship Id="rId45" Type="http://schemas.openxmlformats.org/officeDocument/2006/relationships/oleObject" Target="embeddings/oleObject12.bin"/><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oleObject" Target="embeddings/oleObject1.bin"/><Relationship Id="rId28" Type="http://schemas.openxmlformats.org/officeDocument/2006/relationships/image" Target="media/image4.emf"/><Relationship Id="rId36" Type="http://schemas.openxmlformats.org/officeDocument/2006/relationships/image" Target="media/image8.emf"/><Relationship Id="rId49" Type="http://schemas.openxmlformats.org/officeDocument/2006/relationships/oleObject" Target="embeddings/oleObject14.bin"/><Relationship Id="rId57" Type="http://schemas.openxmlformats.org/officeDocument/2006/relationships/theme" Target="theme/theme1.xml"/><Relationship Id="rId10" Type="http://schemas.openxmlformats.org/officeDocument/2006/relationships/chart" Target="charts/chart4.xml"/><Relationship Id="rId19" Type="http://schemas.openxmlformats.org/officeDocument/2006/relationships/chart" Target="charts/chart13.xml"/><Relationship Id="rId31" Type="http://schemas.openxmlformats.org/officeDocument/2006/relationships/oleObject" Target="embeddings/oleObject5.bin"/><Relationship Id="rId44" Type="http://schemas.openxmlformats.org/officeDocument/2006/relationships/image" Target="media/image12.emf"/><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image" Target="media/image1.emf"/><Relationship Id="rId27" Type="http://schemas.openxmlformats.org/officeDocument/2006/relationships/oleObject" Target="embeddings/oleObject3.bin"/><Relationship Id="rId30" Type="http://schemas.openxmlformats.org/officeDocument/2006/relationships/image" Target="media/image5.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4.emf"/><Relationship Id="rId56" Type="http://schemas.openxmlformats.org/officeDocument/2006/relationships/fontTable" Target="fontTable.xml"/><Relationship Id="rId8" Type="http://schemas.openxmlformats.org/officeDocument/2006/relationships/chart" Target="charts/chart2.xml"/><Relationship Id="rId51" Type="http://schemas.openxmlformats.org/officeDocument/2006/relationships/oleObject" Target="embeddings/oleObject15.bin"/><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23601;&#19994;&#36136;&#37327;&#25253;&#21578;\&#21508;&#23398;&#37096;&#27605;&#19994;&#29983;&#20998;&#24067;&#24773;&#20917;.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dministrator\Desktop\&#23601;&#19994;&#36136;&#37327;&#25253;&#21578;\&#21508;&#23398;&#37096;&#23601;&#19994;&#29575;&#34920;.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dministrator\Desktop\&#23601;&#19994;&#36136;&#37327;&#25253;&#21578;\&#19981;&#21516;&#24615;&#21035;&#27605;&#19994;&#29983;&#30340;&#27605;&#19994;&#27969;&#21521;.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dministrator\Desktop\&#23601;&#19994;&#36136;&#37327;&#25253;&#21578;\&#21508;&#23398;&#37096;&#21333;&#20301;&#23601;&#19994;&#29575;.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Administrator\&#26700;&#38754;\&#34892;&#19994;&#20998;&#24067;&#22270;.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Administrator\&#26700;&#38754;\&#23601;&#19994;&#36136;&#37327;&#25253;&#21578;\&#21508;&#23398;&#37096;&#23601;&#19994;&#29575;&#34920;.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Administrator\&#26700;&#38754;\&#23601;&#19994;&#36136;&#37327;&#25253;&#21578;\&#21508;&#23398;&#37096;&#21333;&#20301;&#23601;&#19994;&#29575;.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esktop\&#23601;&#19994;&#36136;&#37327;&#25253;&#21578;\&#26032;&#24314;%20Microsoft%20Excel%2097-2003%20&#24037;&#20316;&#3492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istrator\Desktop\&#23601;&#19994;&#36136;&#37327;&#25253;&#21578;\&#21508;&#23398;&#37096;&#23601;&#19994;&#29575;&#34920;.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istrator\Desktop\&#23601;&#19994;&#36136;&#37327;&#25253;&#21578;\&#21508;&#23398;&#37096;&#30007;&#22899;&#23601;&#19994;&#29575;.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Administrator\&#26700;&#38754;\&#23601;&#19994;&#36136;&#37327;&#25253;&#21578;\&#19981;&#21516;&#24615;&#21035;&#27605;&#19994;&#29983;&#30340;&#27605;&#19994;&#27969;&#21521;.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istrator\Desktop\&#23601;&#19994;&#36136;&#37327;&#25253;&#21578;\&#21508;&#23398;&#37096;&#21333;&#20301;&#23601;&#19994;&#29575;.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istrator\Desktop\&#23601;&#19994;&#36136;&#37327;&#25253;&#21578;\&#21508;&#23398;&#37096;&#21319;&#23398;&#20986;&#22269;&#29575;.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istrator\Desktop\&#23601;&#19994;&#36136;&#37327;&#25253;&#21578;\&#21508;&#23398;&#37096;&#21319;&#23398;&#20986;&#22269;&#29575;.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MINI~1\AppData\Local\Temp\Rar$DIb0.101\2017&#23626;&#27605;&#19994;&#29983;&#21319;&#23398;&#30340;&#21407;&#2224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rPr lang="en-US" altLang="zh-CN" sz="1400" b="0" i="0" u="none" strike="noStrike" baseline="0">
                <a:solidFill>
                  <a:srgbClr val="333333"/>
                </a:solidFill>
                <a:latin typeface="Calibri" panose="020F0502020204030204" pitchFamily="2" charset="0"/>
                <a:ea typeface="Calibri" panose="020F0502020204030204" pitchFamily="2" charset="0"/>
                <a:cs typeface="Calibri" panose="020F0502020204030204" pitchFamily="2" charset="0"/>
              </a:rPr>
              <a:t>2017</a:t>
            </a:r>
            <a:r>
              <a:rPr altLang="en-US" sz="1400" b="0" i="0" u="none" strike="noStrike" baseline="0">
                <a:solidFill>
                  <a:srgbClr val="333333"/>
                </a:solidFill>
                <a:latin typeface="宋体" panose="02010600030101010101" charset="-122"/>
                <a:ea typeface="宋体" panose="02010600030101010101" charset="-122"/>
                <a:cs typeface="宋体" panose="02010600030101010101" charset="-122"/>
              </a:rPr>
              <a:t>届</a:t>
            </a:r>
            <a:endParaRPr altLang="en-US"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spPr>
        <a:noFill/>
        <a:ln>
          <a:noFill/>
        </a:ln>
        <a:effectLst/>
      </c:spPr>
    </c:title>
    <c:plotArea>
      <c:layout/>
      <c:pieChart>
        <c:varyColors val="1"/>
        <c:ser>
          <c:idx val="0"/>
          <c:order val="0"/>
          <c:dPt>
            <c:idx val="0"/>
            <c:spPr>
              <a:solidFill>
                <a:srgbClr val="4F81BD"/>
              </a:solidFill>
              <a:ln w="19050">
                <a:solidFill>
                  <a:srgbClr val="FFFFFF"/>
                </a:solidFill>
              </a:ln>
              <a:effectLst/>
            </c:spPr>
          </c:dPt>
          <c:dPt>
            <c:idx val="1"/>
            <c:spPr>
              <a:solidFill>
                <a:srgbClr val="C0504D"/>
              </a:solidFill>
              <a:ln w="19050">
                <a:solidFill>
                  <a:srgbClr val="FFFFFF"/>
                </a:solidFill>
              </a:ln>
              <a:effectLst/>
            </c:spPr>
          </c:dPt>
          <c:dPt>
            <c:idx val="2"/>
            <c:spPr>
              <a:solidFill>
                <a:srgbClr val="9BBB59"/>
              </a:solidFill>
              <a:ln w="19050">
                <a:solidFill>
                  <a:srgbClr val="FFFFFF"/>
                </a:solidFill>
              </a:ln>
              <a:effectLst/>
            </c:spPr>
          </c:dPt>
          <c:dPt>
            <c:idx val="3"/>
            <c:spPr>
              <a:solidFill>
                <a:srgbClr val="8064A2"/>
              </a:solidFill>
              <a:ln w="19050">
                <a:solidFill>
                  <a:srgbClr val="FFFFFF"/>
                </a:solidFill>
              </a:ln>
              <a:effectLst/>
            </c:spPr>
          </c:dPt>
          <c:dPt>
            <c:idx val="4"/>
            <c:spPr>
              <a:solidFill>
                <a:srgbClr val="4BACC6"/>
              </a:solidFill>
              <a:ln w="19050">
                <a:solidFill>
                  <a:srgbClr val="FFFFFF"/>
                </a:solidFill>
              </a:ln>
              <a:effectLst/>
            </c:spPr>
          </c:dPt>
          <c:dPt>
            <c:idx val="5"/>
            <c:spPr>
              <a:solidFill>
                <a:srgbClr val="F79646"/>
              </a:solidFill>
              <a:ln w="19050">
                <a:solidFill>
                  <a:srgbClr val="FFFFFF"/>
                </a:solidFill>
              </a:ln>
              <a:effectLst/>
            </c:spPr>
          </c:dPt>
          <c:dPt>
            <c:idx val="6"/>
            <c:spPr>
              <a:solidFill>
                <a:srgbClr val="2C4D75">
                  <a:lumMod val="60000"/>
                </a:srgbClr>
              </a:solidFill>
              <a:ln w="19050">
                <a:solidFill>
                  <a:srgbClr val="FFFFFF"/>
                </a:solidFill>
              </a:ln>
              <a:effectLst/>
            </c:spPr>
          </c:dPt>
          <c:dLbls>
            <c:dLbl>
              <c:idx val="0"/>
              <c:tx>
                <c:rich>
                  <a:bodyPr rot="0" spcFirstLastPara="0" vertOverflow="ellipsis" vert="horz" wrap="square" lIns="38100" tIns="19050" rIns="38100" bIns="19050" anchor="ctr" anchorCtr="1"/>
                  <a:lstStyle/>
                  <a:p>
                    <a:pPr defTabSz="914400">
                      <a:defRPr lang="zh-CN" sz="900" b="0" i="0" u="none" strike="noStrike" kern="1200" baseline="0">
                        <a:solidFill>
                          <a:srgbClr val="404040">
                            <a:lumMod val="75000"/>
                            <a:lumOff val="25000"/>
                          </a:srgbClr>
                        </a:solidFill>
                        <a:latin typeface="+mn-lt"/>
                        <a:ea typeface="+mn-ea"/>
                        <a:cs typeface="+mn-cs"/>
                      </a:defRPr>
                    </a:pPr>
                    <a:r>
                      <a:rPr sz="900" b="0" i="0" u="none" strike="noStrike" baseline="0">
                        <a:solidFill>
                          <a:srgbClr val="333333"/>
                        </a:solidFill>
                        <a:latin typeface="宋体" panose="02010600030101010101" charset="-122"/>
                        <a:ea typeface="宋体" panose="02010600030101010101" charset="-122"/>
                        <a:cs typeface="宋体" panose="02010600030101010101" charset="-122"/>
                      </a:rPr>
                      <a:t>（</a:t>
                    </a:r>
                    <a:r>
                      <a:rPr lang="en-US" altLang="zh-CN" sz="900" b="0" i="0" u="none" strike="noStrike" baseline="0">
                        <a:solidFill>
                          <a:srgbClr val="333333"/>
                        </a:solidFill>
                        <a:latin typeface="Calibri" panose="020F0502020204030204" pitchFamily="2" charset="0"/>
                        <a:ea typeface="Calibri" panose="020F0502020204030204" pitchFamily="2" charset="0"/>
                        <a:cs typeface="Calibri" panose="020F0502020204030204" pitchFamily="2" charset="0"/>
                      </a:rPr>
                      <a:t>198</a:t>
                    </a:r>
                    <a:r>
                      <a:rPr altLang="en-US" sz="900" b="0" i="0" u="none" strike="noStrike" baseline="0">
                        <a:solidFill>
                          <a:srgbClr val="333333"/>
                        </a:solidFill>
                        <a:latin typeface="宋体" panose="02010600030101010101" charset="-122"/>
                        <a:ea typeface="宋体" panose="02010600030101010101" charset="-122"/>
                        <a:cs typeface="宋体" panose="02010600030101010101" charset="-122"/>
                      </a:rPr>
                      <a:t>人）</a:t>
                    </a:r>
                  </a:p>
                  <a:p>
                    <a:pPr defTabSz="914400">
                      <a:defRPr lang="zh-CN" sz="900" b="0" i="0" u="none" strike="noStrike" kern="1200" baseline="0">
                        <a:solidFill>
                          <a:srgbClr val="404040">
                            <a:lumMod val="75000"/>
                            <a:lumOff val="25000"/>
                          </a:srgbClr>
                        </a:solidFill>
                        <a:latin typeface="+mn-lt"/>
                        <a:ea typeface="+mn-ea"/>
                        <a:cs typeface="+mn-cs"/>
                      </a:defRPr>
                    </a:pPr>
                    <a:r>
                      <a:rPr sz="900" b="0" i="0" u="none" strike="noStrike" baseline="0">
                        <a:solidFill>
                          <a:srgbClr val="333333"/>
                        </a:solidFill>
                        <a:latin typeface="宋体" panose="02010600030101010101" charset="-122"/>
                        <a:ea typeface="宋体" panose="02010600030101010101" charset="-122"/>
                        <a:cs typeface="宋体" panose="02010600030101010101" charset="-122"/>
                      </a:rPr>
                      <a:t>11%</a:t>
                    </a:r>
                    <a:endParaRPr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spPr>
                <a:noFill/>
                <a:ln>
                  <a:noFill/>
                </a:ln>
                <a:effectLst/>
              </c:spPr>
              <c:dLblPos val="outEnd"/>
              <c:showPercent val="1"/>
              <c:extLst>
                <c:ext xmlns:c15="http://schemas.microsoft.com/office/drawing/2012/chart" uri="{CE6537A1-D6FC-4f65-9D91-7224C49458BB}"/>
              </c:extLst>
            </c:dLbl>
            <c:dLbl>
              <c:idx val="1"/>
              <c:tx>
                <c:rich>
                  <a:bodyPr rot="0" spcFirstLastPara="0" vertOverflow="ellipsis" vert="horz" wrap="square" lIns="38100" tIns="19050" rIns="38100" bIns="19050" anchor="ctr" anchorCtr="1"/>
                  <a:lstStyle/>
                  <a:p>
                    <a:pPr defTabSz="914400">
                      <a:defRPr lang="zh-CN" sz="900" b="0" i="0" u="none" strike="noStrike" kern="1200" baseline="0">
                        <a:solidFill>
                          <a:srgbClr val="404040">
                            <a:lumMod val="75000"/>
                            <a:lumOff val="25000"/>
                          </a:srgbClr>
                        </a:solidFill>
                        <a:latin typeface="+mn-lt"/>
                        <a:ea typeface="+mn-ea"/>
                        <a:cs typeface="+mn-cs"/>
                      </a:defRPr>
                    </a:pPr>
                    <a:r>
                      <a:rPr altLang="en-US" sz="900" b="0" i="0" u="none" strike="noStrike" baseline="0">
                        <a:solidFill>
                          <a:srgbClr val="333333"/>
                        </a:solidFill>
                        <a:latin typeface="宋体" panose="02010600030101010101" charset="-122"/>
                        <a:ea typeface="宋体" panose="02010600030101010101" charset="-122"/>
                        <a:cs typeface="宋体" panose="02010600030101010101" charset="-122"/>
                      </a:rPr>
                      <a:t>（</a:t>
                    </a:r>
                    <a:r>
                      <a:rPr lang="en-US" altLang="zh-CN" sz="900" b="0" i="0" u="none" strike="noStrike" baseline="0">
                        <a:solidFill>
                          <a:srgbClr val="333333"/>
                        </a:solidFill>
                        <a:latin typeface="Calibri" panose="020F0502020204030204" pitchFamily="2" charset="0"/>
                        <a:ea typeface="Calibri" panose="020F0502020204030204" pitchFamily="2" charset="0"/>
                        <a:cs typeface="Calibri" panose="020F0502020204030204" pitchFamily="2" charset="0"/>
                      </a:rPr>
                      <a:t>136</a:t>
                    </a:r>
                    <a:r>
                      <a:rPr altLang="en-US" sz="900" b="0" i="0" u="none" strike="noStrike" baseline="0">
                        <a:solidFill>
                          <a:srgbClr val="333333"/>
                        </a:solidFill>
                        <a:latin typeface="宋体" panose="02010600030101010101" charset="-122"/>
                        <a:ea typeface="宋体" panose="02010600030101010101" charset="-122"/>
                        <a:cs typeface="宋体" panose="02010600030101010101" charset="-122"/>
                      </a:rPr>
                      <a:t>人）</a:t>
                    </a:r>
                  </a:p>
                  <a:p>
                    <a:pPr defTabSz="914400">
                      <a:defRPr lang="zh-CN" sz="900" b="0" i="0" u="none" strike="noStrike" kern="1200" baseline="0">
                        <a:solidFill>
                          <a:srgbClr val="404040">
                            <a:lumMod val="75000"/>
                            <a:lumOff val="25000"/>
                          </a:srgbClr>
                        </a:solidFill>
                        <a:latin typeface="+mn-lt"/>
                        <a:ea typeface="+mn-ea"/>
                        <a:cs typeface="+mn-cs"/>
                      </a:defRPr>
                    </a:pPr>
                    <a:r>
                      <a:rPr sz="900" b="0" i="0" u="none" strike="noStrike" baseline="0">
                        <a:solidFill>
                          <a:srgbClr val="333333"/>
                        </a:solidFill>
                        <a:latin typeface="宋体" panose="02010600030101010101" charset="-122"/>
                        <a:ea typeface="宋体" panose="02010600030101010101" charset="-122"/>
                        <a:cs typeface="宋体" panose="02010600030101010101" charset="-122"/>
                      </a:rPr>
                      <a:t>8%</a:t>
                    </a:r>
                    <a:endParaRPr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spPr>
                <a:noFill/>
                <a:ln>
                  <a:noFill/>
                </a:ln>
                <a:effectLst/>
              </c:spPr>
              <c:dLblPos val="outEnd"/>
              <c:showPercent val="1"/>
              <c:extLst>
                <c:ext xmlns:c15="http://schemas.microsoft.com/office/drawing/2012/chart" uri="{CE6537A1-D6FC-4f65-9D91-7224C49458BB}"/>
              </c:extLst>
            </c:dLbl>
            <c:dLbl>
              <c:idx val="2"/>
              <c:tx>
                <c:rich>
                  <a:bodyPr rot="0" spcFirstLastPara="0" vertOverflow="ellipsis" vert="horz" wrap="square" lIns="38100" tIns="19050" rIns="38100" bIns="19050" anchor="ctr" anchorCtr="1"/>
                  <a:lstStyle/>
                  <a:p>
                    <a:pPr defTabSz="914400">
                      <a:defRPr lang="zh-CN" sz="900" b="0" i="0" u="none" strike="noStrike" kern="1200" baseline="0">
                        <a:solidFill>
                          <a:srgbClr val="404040">
                            <a:lumMod val="75000"/>
                            <a:lumOff val="25000"/>
                          </a:srgbClr>
                        </a:solidFill>
                        <a:latin typeface="+mn-lt"/>
                        <a:ea typeface="+mn-ea"/>
                        <a:cs typeface="+mn-cs"/>
                      </a:defRPr>
                    </a:pPr>
                    <a:r>
                      <a:rPr sz="900" b="0" i="0" u="none" strike="noStrike" baseline="0">
                        <a:solidFill>
                          <a:srgbClr val="333333"/>
                        </a:solidFill>
                        <a:latin typeface="宋体" panose="02010600030101010101" charset="-122"/>
                        <a:ea typeface="宋体" panose="02010600030101010101" charset="-122"/>
                        <a:cs typeface="宋体" panose="02010600030101010101" charset="-122"/>
                      </a:rPr>
                      <a:t>（</a:t>
                    </a:r>
                    <a:r>
                      <a:rPr lang="en-US" altLang="zh-CN" sz="900" b="0" i="0" u="none" strike="noStrike" baseline="0">
                        <a:solidFill>
                          <a:srgbClr val="333333"/>
                        </a:solidFill>
                        <a:latin typeface="Calibri" panose="020F0502020204030204" pitchFamily="2" charset="0"/>
                        <a:ea typeface="Calibri" panose="020F0502020204030204" pitchFamily="2" charset="0"/>
                        <a:cs typeface="Calibri" panose="020F0502020204030204" pitchFamily="2" charset="0"/>
                      </a:rPr>
                      <a:t>241</a:t>
                    </a:r>
                    <a:r>
                      <a:rPr altLang="en-US" sz="900" b="0" i="0" u="none" strike="noStrike" baseline="0">
                        <a:solidFill>
                          <a:srgbClr val="333333"/>
                        </a:solidFill>
                        <a:latin typeface="宋体" panose="02010600030101010101" charset="-122"/>
                        <a:ea typeface="宋体" panose="02010600030101010101" charset="-122"/>
                        <a:cs typeface="宋体" panose="02010600030101010101" charset="-122"/>
                      </a:rPr>
                      <a:t>人）</a:t>
                    </a:r>
                  </a:p>
                  <a:p>
                    <a:pPr defTabSz="914400">
                      <a:defRPr lang="zh-CN" sz="900" b="0" i="0" u="none" strike="noStrike" kern="1200" baseline="0">
                        <a:solidFill>
                          <a:srgbClr val="404040">
                            <a:lumMod val="75000"/>
                            <a:lumOff val="25000"/>
                          </a:srgbClr>
                        </a:solidFill>
                        <a:latin typeface="+mn-lt"/>
                        <a:ea typeface="+mn-ea"/>
                        <a:cs typeface="+mn-cs"/>
                      </a:defRPr>
                    </a:pPr>
                    <a:r>
                      <a:rPr sz="900" b="0" i="0" u="none" strike="noStrike" baseline="0">
                        <a:solidFill>
                          <a:srgbClr val="333333"/>
                        </a:solidFill>
                        <a:latin typeface="宋体" panose="02010600030101010101" charset="-122"/>
                        <a:ea typeface="宋体" panose="02010600030101010101" charset="-122"/>
                        <a:cs typeface="宋体" panose="02010600030101010101" charset="-122"/>
                      </a:rPr>
                      <a:t>13%</a:t>
                    </a:r>
                    <a:endParaRPr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spPr>
                <a:noFill/>
                <a:ln>
                  <a:noFill/>
                </a:ln>
                <a:effectLst/>
              </c:spPr>
              <c:dLblPos val="outEnd"/>
              <c:showPercent val="1"/>
              <c:extLst>
                <c:ext xmlns:c15="http://schemas.microsoft.com/office/drawing/2012/chart" uri="{CE6537A1-D6FC-4f65-9D91-7224C49458BB}"/>
              </c:extLst>
            </c:dLbl>
            <c:dLbl>
              <c:idx val="3"/>
              <c:tx>
                <c:rich>
                  <a:bodyPr rot="0" spcFirstLastPara="0" vertOverflow="ellipsis" vert="horz" wrap="square" lIns="38100" tIns="19050" rIns="38100" bIns="19050" anchor="ctr" anchorCtr="1"/>
                  <a:lstStyle/>
                  <a:p>
                    <a:pPr defTabSz="914400">
                      <a:defRPr lang="zh-CN" sz="900" b="0" i="0" u="none" strike="noStrike" kern="1200" baseline="0">
                        <a:solidFill>
                          <a:srgbClr val="404040">
                            <a:lumMod val="75000"/>
                            <a:lumOff val="25000"/>
                          </a:srgbClr>
                        </a:solidFill>
                        <a:latin typeface="+mn-lt"/>
                        <a:ea typeface="+mn-ea"/>
                        <a:cs typeface="+mn-cs"/>
                      </a:defRPr>
                    </a:pPr>
                    <a:r>
                      <a:rPr sz="900" b="0" i="0" u="none" strike="noStrike" baseline="0">
                        <a:solidFill>
                          <a:srgbClr val="333333"/>
                        </a:solidFill>
                        <a:latin typeface="宋体" panose="02010600030101010101" charset="-122"/>
                        <a:ea typeface="宋体" panose="02010600030101010101" charset="-122"/>
                        <a:cs typeface="宋体" panose="02010600030101010101" charset="-122"/>
                      </a:rPr>
                      <a:t>（</a:t>
                    </a:r>
                    <a:r>
                      <a:rPr lang="en-US" altLang="zh-CN" sz="900" b="0" i="0" u="none" strike="noStrike" baseline="0">
                        <a:solidFill>
                          <a:srgbClr val="333333"/>
                        </a:solidFill>
                        <a:latin typeface="Calibri" panose="020F0502020204030204" pitchFamily="2" charset="0"/>
                        <a:ea typeface="Calibri" panose="020F0502020204030204" pitchFamily="2" charset="0"/>
                        <a:cs typeface="Calibri" panose="020F0502020204030204" pitchFamily="2" charset="0"/>
                      </a:rPr>
                      <a:t>241</a:t>
                    </a:r>
                    <a:r>
                      <a:rPr altLang="en-US" sz="900" b="0" i="0" u="none" strike="noStrike" baseline="0">
                        <a:solidFill>
                          <a:srgbClr val="333333"/>
                        </a:solidFill>
                        <a:latin typeface="宋体" panose="02010600030101010101" charset="-122"/>
                        <a:ea typeface="宋体" panose="02010600030101010101" charset="-122"/>
                        <a:cs typeface="宋体" panose="02010600030101010101" charset="-122"/>
                      </a:rPr>
                      <a:t>人）</a:t>
                    </a:r>
                  </a:p>
                  <a:p>
                    <a:pPr defTabSz="914400">
                      <a:defRPr lang="zh-CN" sz="900" b="0" i="0" u="none" strike="noStrike" kern="1200" baseline="0">
                        <a:solidFill>
                          <a:srgbClr val="404040">
                            <a:lumMod val="75000"/>
                            <a:lumOff val="25000"/>
                          </a:srgbClr>
                        </a:solidFill>
                        <a:latin typeface="+mn-lt"/>
                        <a:ea typeface="+mn-ea"/>
                        <a:cs typeface="+mn-cs"/>
                      </a:defRPr>
                    </a:pPr>
                    <a:r>
                      <a:rPr sz="900" b="0" i="0" u="none" strike="noStrike" baseline="0">
                        <a:solidFill>
                          <a:srgbClr val="333333"/>
                        </a:solidFill>
                        <a:latin typeface="宋体" panose="02010600030101010101" charset="-122"/>
                        <a:ea typeface="宋体" panose="02010600030101010101" charset="-122"/>
                        <a:cs typeface="宋体" panose="02010600030101010101" charset="-122"/>
                      </a:rPr>
                      <a:t>13%</a:t>
                    </a:r>
                    <a:endParaRPr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spPr>
                <a:noFill/>
                <a:ln>
                  <a:noFill/>
                </a:ln>
                <a:effectLst/>
              </c:spPr>
              <c:dLblPos val="outEnd"/>
              <c:showPercent val="1"/>
              <c:extLst>
                <c:ext xmlns:c15="http://schemas.microsoft.com/office/drawing/2012/chart" uri="{CE6537A1-D6FC-4f65-9D91-7224C49458BB}"/>
              </c:extLst>
            </c:dLbl>
            <c:dLbl>
              <c:idx val="4"/>
              <c:tx>
                <c:rich>
                  <a:bodyPr rot="0" spcFirstLastPara="0" vertOverflow="ellipsis" vert="horz" wrap="square" lIns="38100" tIns="19050" rIns="38100" bIns="19050" anchor="ctr" anchorCtr="1"/>
                  <a:lstStyle/>
                  <a:p>
                    <a:pPr defTabSz="914400">
                      <a:defRPr lang="zh-CN" sz="900" b="0" i="0" u="none" strike="noStrike" kern="1200" baseline="0">
                        <a:solidFill>
                          <a:srgbClr val="404040">
                            <a:lumMod val="75000"/>
                            <a:lumOff val="25000"/>
                          </a:srgbClr>
                        </a:solidFill>
                        <a:latin typeface="+mn-lt"/>
                        <a:ea typeface="+mn-ea"/>
                        <a:cs typeface="+mn-cs"/>
                      </a:defRPr>
                    </a:pPr>
                    <a:r>
                      <a:rPr altLang="en-US" sz="900" b="0" i="0" u="none" strike="noStrike" baseline="0">
                        <a:solidFill>
                          <a:srgbClr val="333333"/>
                        </a:solidFill>
                        <a:latin typeface="宋体" panose="02010600030101010101" charset="-122"/>
                        <a:ea typeface="宋体" panose="02010600030101010101" charset="-122"/>
                        <a:cs typeface="宋体" panose="02010600030101010101" charset="-122"/>
                      </a:rPr>
                      <a:t>（</a:t>
                    </a:r>
                    <a:r>
                      <a:rPr lang="en-US" altLang="zh-CN" sz="900" b="0" i="0" u="none" strike="noStrike" baseline="0">
                        <a:solidFill>
                          <a:srgbClr val="333333"/>
                        </a:solidFill>
                        <a:latin typeface="Calibri" panose="020F0502020204030204" pitchFamily="2" charset="0"/>
                        <a:ea typeface="Calibri" panose="020F0502020204030204" pitchFamily="2" charset="0"/>
                        <a:cs typeface="Calibri" panose="020F0502020204030204" pitchFamily="2" charset="0"/>
                      </a:rPr>
                      <a:t>346</a:t>
                    </a:r>
                    <a:r>
                      <a:rPr altLang="en-US" sz="900" b="0" i="0" u="none" strike="noStrike" baseline="0">
                        <a:solidFill>
                          <a:srgbClr val="333333"/>
                        </a:solidFill>
                        <a:latin typeface="宋体" panose="02010600030101010101" charset="-122"/>
                        <a:ea typeface="宋体" panose="02010600030101010101" charset="-122"/>
                        <a:cs typeface="宋体" panose="02010600030101010101" charset="-122"/>
                      </a:rPr>
                      <a:t>人）</a:t>
                    </a:r>
                  </a:p>
                  <a:p>
                    <a:pPr defTabSz="914400">
                      <a:defRPr lang="zh-CN" sz="900" b="0" i="0" u="none" strike="noStrike" kern="1200" baseline="0">
                        <a:solidFill>
                          <a:srgbClr val="404040">
                            <a:lumMod val="75000"/>
                            <a:lumOff val="25000"/>
                          </a:srgbClr>
                        </a:solidFill>
                        <a:latin typeface="+mn-lt"/>
                        <a:ea typeface="+mn-ea"/>
                        <a:cs typeface="+mn-cs"/>
                      </a:defRPr>
                    </a:pPr>
                    <a:r>
                      <a:rPr sz="900" b="0" i="0" u="none" strike="noStrike" baseline="0">
                        <a:solidFill>
                          <a:srgbClr val="333333"/>
                        </a:solidFill>
                        <a:latin typeface="宋体" panose="02010600030101010101" charset="-122"/>
                        <a:ea typeface="宋体" panose="02010600030101010101" charset="-122"/>
                        <a:cs typeface="宋体" panose="02010600030101010101" charset="-122"/>
                      </a:rPr>
                      <a:t>19%</a:t>
                    </a:r>
                    <a:endParaRPr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spPr>
                <a:noFill/>
                <a:ln>
                  <a:noFill/>
                </a:ln>
                <a:effectLst/>
              </c:spPr>
              <c:dLblPos val="outEnd"/>
              <c:showPercent val="1"/>
              <c:extLst>
                <c:ext xmlns:c15="http://schemas.microsoft.com/office/drawing/2012/chart" uri="{CE6537A1-D6FC-4f65-9D91-7224C49458BB}"/>
              </c:extLst>
            </c:dLbl>
            <c:dLbl>
              <c:idx val="5"/>
              <c:tx>
                <c:rich>
                  <a:bodyPr rot="0" spcFirstLastPara="0" vertOverflow="ellipsis" vert="horz" wrap="square" lIns="38100" tIns="19050" rIns="38100" bIns="19050" anchor="ctr" anchorCtr="1"/>
                  <a:lstStyle/>
                  <a:p>
                    <a:pPr defTabSz="914400">
                      <a:defRPr lang="zh-CN" sz="900" b="0" i="0" u="none" strike="noStrike" kern="1200" baseline="0">
                        <a:solidFill>
                          <a:srgbClr val="404040">
                            <a:lumMod val="75000"/>
                            <a:lumOff val="25000"/>
                          </a:srgbClr>
                        </a:solidFill>
                        <a:latin typeface="+mn-lt"/>
                        <a:ea typeface="+mn-ea"/>
                        <a:cs typeface="+mn-cs"/>
                      </a:defRPr>
                    </a:pPr>
                    <a:r>
                      <a:rPr sz="900" b="0" i="0" u="none" strike="noStrike" baseline="0">
                        <a:solidFill>
                          <a:srgbClr val="333333"/>
                        </a:solidFill>
                        <a:latin typeface="宋体" panose="02010600030101010101" charset="-122"/>
                        <a:ea typeface="宋体" panose="02010600030101010101" charset="-122"/>
                        <a:cs typeface="宋体" panose="02010600030101010101" charset="-122"/>
                      </a:rPr>
                      <a:t>（</a:t>
                    </a:r>
                    <a:r>
                      <a:rPr lang="en-US" altLang="zh-CN" sz="900" b="0" i="0" u="none" strike="noStrike" baseline="0">
                        <a:solidFill>
                          <a:srgbClr val="333333"/>
                        </a:solidFill>
                        <a:latin typeface="Calibri" panose="020F0502020204030204" pitchFamily="2" charset="0"/>
                        <a:ea typeface="Calibri" panose="020F0502020204030204" pitchFamily="2" charset="0"/>
                        <a:cs typeface="Calibri" panose="020F0502020204030204" pitchFamily="2" charset="0"/>
                      </a:rPr>
                      <a:t>242</a:t>
                    </a:r>
                    <a:r>
                      <a:rPr altLang="en-US" sz="900" b="0" i="0" u="none" strike="noStrike" baseline="0">
                        <a:solidFill>
                          <a:srgbClr val="333333"/>
                        </a:solidFill>
                        <a:latin typeface="宋体" panose="02010600030101010101" charset="-122"/>
                        <a:ea typeface="宋体" panose="02010600030101010101" charset="-122"/>
                        <a:cs typeface="宋体" panose="02010600030101010101" charset="-122"/>
                      </a:rPr>
                      <a:t>人）</a:t>
                    </a:r>
                  </a:p>
                  <a:p>
                    <a:pPr defTabSz="914400">
                      <a:defRPr lang="zh-CN" sz="900" b="0" i="0" u="none" strike="noStrike" kern="1200" baseline="0">
                        <a:solidFill>
                          <a:srgbClr val="404040">
                            <a:lumMod val="75000"/>
                            <a:lumOff val="25000"/>
                          </a:srgbClr>
                        </a:solidFill>
                        <a:latin typeface="+mn-lt"/>
                        <a:ea typeface="+mn-ea"/>
                        <a:cs typeface="+mn-cs"/>
                      </a:defRPr>
                    </a:pPr>
                    <a:r>
                      <a:rPr sz="900" b="0" i="0" u="none" strike="noStrike" baseline="0">
                        <a:solidFill>
                          <a:srgbClr val="333333"/>
                        </a:solidFill>
                        <a:latin typeface="宋体" panose="02010600030101010101" charset="-122"/>
                        <a:ea typeface="宋体" panose="02010600030101010101" charset="-122"/>
                        <a:cs typeface="宋体" panose="02010600030101010101" charset="-122"/>
                      </a:rPr>
                      <a:t>13%</a:t>
                    </a:r>
                    <a:endParaRPr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spPr>
                <a:noFill/>
                <a:ln>
                  <a:noFill/>
                </a:ln>
                <a:effectLst/>
              </c:spPr>
              <c:dLblPos val="outEnd"/>
              <c:showPercent val="1"/>
              <c:extLst>
                <c:ext xmlns:c15="http://schemas.microsoft.com/office/drawing/2012/chart" uri="{CE6537A1-D6FC-4f65-9D91-7224C49458BB}"/>
              </c:extLst>
            </c:dLbl>
            <c:dLbl>
              <c:idx val="6"/>
              <c:tx>
                <c:rich>
                  <a:bodyPr rot="0" spcFirstLastPara="0" vertOverflow="ellipsis" vert="horz" wrap="square" lIns="38100" tIns="19050" rIns="38100" bIns="19050" anchor="ctr" anchorCtr="1"/>
                  <a:lstStyle/>
                  <a:p>
                    <a:pPr defTabSz="914400">
                      <a:defRPr lang="zh-CN" sz="900" b="0" i="0" u="none" strike="noStrike" kern="1200" baseline="0">
                        <a:solidFill>
                          <a:srgbClr val="404040">
                            <a:lumMod val="75000"/>
                            <a:lumOff val="25000"/>
                          </a:srgbClr>
                        </a:solidFill>
                        <a:latin typeface="+mn-lt"/>
                        <a:ea typeface="+mn-ea"/>
                        <a:cs typeface="+mn-cs"/>
                      </a:defRPr>
                    </a:pPr>
                    <a:r>
                      <a:rPr sz="900" b="0" i="0" u="none" strike="noStrike" baseline="0">
                        <a:solidFill>
                          <a:srgbClr val="333333"/>
                        </a:solidFill>
                        <a:latin typeface="宋体" panose="02010600030101010101" charset="-122"/>
                        <a:ea typeface="宋体" panose="02010600030101010101" charset="-122"/>
                        <a:cs typeface="宋体" panose="02010600030101010101" charset="-122"/>
                      </a:rPr>
                      <a:t>（</a:t>
                    </a:r>
                    <a:r>
                      <a:rPr lang="en-US" altLang="zh-CN" sz="900" b="0" i="0" u="none" strike="noStrike" baseline="0">
                        <a:solidFill>
                          <a:srgbClr val="333333"/>
                        </a:solidFill>
                        <a:latin typeface="Calibri" panose="020F0502020204030204" pitchFamily="2" charset="0"/>
                        <a:ea typeface="Calibri" panose="020F0502020204030204" pitchFamily="2" charset="0"/>
                        <a:cs typeface="Calibri" panose="020F0502020204030204" pitchFamily="2" charset="0"/>
                      </a:rPr>
                      <a:t>407</a:t>
                    </a:r>
                    <a:r>
                      <a:rPr altLang="en-US" sz="900" b="0" i="0" u="none" strike="noStrike" baseline="0">
                        <a:solidFill>
                          <a:srgbClr val="333333"/>
                        </a:solidFill>
                        <a:latin typeface="宋体" panose="02010600030101010101" charset="-122"/>
                        <a:ea typeface="宋体" panose="02010600030101010101" charset="-122"/>
                        <a:cs typeface="宋体" panose="02010600030101010101" charset="-122"/>
                      </a:rPr>
                      <a:t>人）</a:t>
                    </a:r>
                  </a:p>
                  <a:p>
                    <a:pPr defTabSz="914400">
                      <a:defRPr lang="zh-CN" sz="900" b="0" i="0" u="none" strike="noStrike" kern="1200" baseline="0">
                        <a:solidFill>
                          <a:srgbClr val="404040">
                            <a:lumMod val="75000"/>
                            <a:lumOff val="25000"/>
                          </a:srgbClr>
                        </a:solidFill>
                        <a:latin typeface="+mn-lt"/>
                        <a:ea typeface="+mn-ea"/>
                        <a:cs typeface="+mn-cs"/>
                      </a:defRPr>
                    </a:pPr>
                    <a:r>
                      <a:rPr sz="900" b="0" i="0" u="none" strike="noStrike" baseline="0">
                        <a:solidFill>
                          <a:srgbClr val="333333"/>
                        </a:solidFill>
                        <a:latin typeface="宋体" panose="02010600030101010101" charset="-122"/>
                        <a:ea typeface="宋体" panose="02010600030101010101" charset="-122"/>
                        <a:cs typeface="宋体" panose="02010600030101010101" charset="-122"/>
                      </a:rPr>
                      <a:t>23%</a:t>
                    </a:r>
                    <a:endParaRPr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spPr>
                <a:noFill/>
                <a:ln>
                  <a:noFill/>
                </a:ln>
                <a:effectLst/>
              </c:spPr>
              <c:dLblPos val="outEnd"/>
              <c:showPercent val="1"/>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endParaRPr lang="zh-CN"/>
              </a:p>
            </c:txPr>
            <c:dLblPos val="outEnd"/>
            <c:showPercent val="1"/>
            <c:showLeaderLines val="1"/>
            <c:extLst>
              <c:ext xmlns:c15="http://schemas.microsoft.com/office/drawing/2012/chart" uri="{CE6537A1-D6FC-4f65-9D91-7224C49458BB}">
                <c15:layout/>
                <c15:showLeaderLines val="1"/>
                <c15:leaderLines>
                  <c:spPr>
                    <a:ln w="9525" cap="flat" cmpd="sng" algn="ctr">
                      <a:solidFill>
                        <a:srgbClr val="969696">
                          <a:alpha val="100000"/>
                        </a:srgbClr>
                      </a:solidFill>
                      <a:prstDash val="solid"/>
                      <a:round/>
                    </a:ln>
                  </c:spPr>
                </c15:leaderLines>
              </c:ext>
            </c:extLst>
          </c:dLbls>
          <c:cat>
            <c:strRef>
              <c:f>[各学部毕业生分布情况.xls]Sheet2!$D$6:$D$12</c:f>
              <c:strCache>
                <c:ptCount val="7"/>
                <c:pt idx="0">
                  <c:v>人文学部</c:v>
                </c:pt>
                <c:pt idx="1">
                  <c:v>理学部</c:v>
                </c:pt>
                <c:pt idx="2">
                  <c:v>经济与管理学部</c:v>
                </c:pt>
                <c:pt idx="3">
                  <c:v>信息科学部</c:v>
                </c:pt>
                <c:pt idx="4">
                  <c:v>工程学部</c:v>
                </c:pt>
                <c:pt idx="5">
                  <c:v>医学部（四）</c:v>
                </c:pt>
                <c:pt idx="6">
                  <c:v>医学部（五）</c:v>
                </c:pt>
              </c:strCache>
            </c:strRef>
          </c:cat>
          <c:val>
            <c:numRef>
              <c:f>[各学部毕业生分布情况.xls]Sheet2!$E$6:$E$12</c:f>
              <c:numCache>
                <c:formatCode>General</c:formatCode>
                <c:ptCount val="7"/>
                <c:pt idx="0">
                  <c:v>198</c:v>
                </c:pt>
                <c:pt idx="1">
                  <c:v>136</c:v>
                </c:pt>
                <c:pt idx="2">
                  <c:v>241</c:v>
                </c:pt>
                <c:pt idx="3">
                  <c:v>241</c:v>
                </c:pt>
                <c:pt idx="4">
                  <c:v>346</c:v>
                </c:pt>
                <c:pt idx="5">
                  <c:v>242</c:v>
                </c:pt>
                <c:pt idx="6">
                  <c:v>407</c:v>
                </c:pt>
              </c:numCache>
            </c:numRef>
          </c:val>
        </c:ser>
        <c:firstSliceAng val="0"/>
      </c:pieChart>
      <c:spPr>
        <a:noFill/>
        <a:ln>
          <a:noFill/>
        </a:ln>
        <a:effectLst/>
      </c:spPr>
    </c:plotArea>
    <c:legend>
      <c:legendPos val="r"/>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legend>
    <c:plotVisOnly val="1"/>
    <c:dispBlanksAs val="zero"/>
  </c:chart>
  <c:spPr>
    <a:solidFill>
      <a:srgbClr val="FFFFFF"/>
    </a:solidFill>
    <a:ln w="9525" cap="flat" cmpd="sng" algn="ctr">
      <a:solidFill>
        <a:srgbClr val="D9D9D9">
          <a:lumMod val="15000"/>
          <a:lumOff val="85000"/>
        </a:srgbClr>
      </a:solidFill>
      <a:prstDash val="solid"/>
      <a:round/>
    </a:ln>
    <a:effectLst/>
  </c:spPr>
  <c:txPr>
    <a:bodyPr wrap="square"/>
    <a:lstStyle/>
    <a:p>
      <a:pPr>
        <a:defRPr lang="zh-CN"/>
      </a:pPr>
      <a:endParaRPr lang="zh-CN"/>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[各学部就业率表.xls]Sheet1!$A$3</c:f>
              <c:strCache>
                <c:ptCount val="1"/>
                <c:pt idx="0">
                  <c:v>未就业率</c:v>
                </c:pt>
              </c:strCache>
            </c:strRef>
          </c:tx>
          <c:spPr>
            <a:solidFill>
              <a:srgbClr val="4F81BD"/>
            </a:solidFill>
            <a:ln>
              <a:noFill/>
            </a:ln>
            <a:effectLst/>
          </c:spPr>
          <c:cat>
            <c:strRef>
              <c:f>[各学部就业率表.xls]Sheet1!$B$2:$H$2</c:f>
              <c:strCache>
                <c:ptCount val="7"/>
                <c:pt idx="0">
                  <c:v>人文学部</c:v>
                </c:pt>
                <c:pt idx="1">
                  <c:v>理学部</c:v>
                </c:pt>
                <c:pt idx="2">
                  <c:v>经济与管理学部</c:v>
                </c:pt>
                <c:pt idx="3">
                  <c:v>信息科学部</c:v>
                </c:pt>
                <c:pt idx="4">
                  <c:v>工程学部</c:v>
                </c:pt>
                <c:pt idx="5">
                  <c:v>医学部（四）</c:v>
                </c:pt>
                <c:pt idx="6">
                  <c:v>医学部（五）</c:v>
                </c:pt>
              </c:strCache>
            </c:strRef>
          </c:cat>
          <c:val>
            <c:numRef>
              <c:f>[各学部就业率表.xls]Sheet1!$B$3:$H$3</c:f>
              <c:numCache>
                <c:formatCode>General</c:formatCode>
                <c:ptCount val="7"/>
                <c:pt idx="0">
                  <c:v>0</c:v>
                </c:pt>
                <c:pt idx="1">
                  <c:v>0</c:v>
                </c:pt>
                <c:pt idx="2" formatCode="0.00%">
                  <c:v>8.3000000000000036E-3</c:v>
                </c:pt>
                <c:pt idx="3" formatCode="0.00%">
                  <c:v>4.1000000000000012E-3</c:v>
                </c:pt>
                <c:pt idx="4" formatCode="0_ ">
                  <c:v>0</c:v>
                </c:pt>
                <c:pt idx="5" formatCode="0.00%">
                  <c:v>4.1000000000000012E-3</c:v>
                </c:pt>
                <c:pt idx="6" formatCode="0.00%">
                  <c:v>8.8500000000000037E-2</c:v>
                </c:pt>
              </c:numCache>
            </c:numRef>
          </c:val>
        </c:ser>
        <c:gapWidth val="219"/>
        <c:overlap val="-27"/>
        <c:axId val="145886208"/>
        <c:axId val="145900288"/>
      </c:barChart>
      <c:catAx>
        <c:axId val="145886208"/>
        <c:scaling>
          <c:orientation val="minMax"/>
        </c:scaling>
        <c:axPos val="b"/>
        <c:majorTickMark val="in"/>
        <c:tickLblPos val="nextTo"/>
        <c:spPr>
          <a:noFill/>
          <a:ln w="9525" cap="flat" cmpd="sng" algn="ctr">
            <a:solidFill>
              <a:srgbClr val="D9D9D9">
                <a:lumMod val="15000"/>
                <a:lumOff val="85000"/>
              </a:srgbClr>
            </a:solidFill>
            <a:prstDash val="solid"/>
            <a:round/>
          </a:ln>
          <a:effectLst/>
        </c:spPr>
        <c:txPr>
          <a:bodyPr rot="-60000000" spcFirstLastPara="0" vertOverflow="ellipsis" horzOverflow="overflow"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145900288"/>
        <c:crosses val="autoZero"/>
        <c:auto val="1"/>
        <c:lblAlgn val="ctr"/>
        <c:lblOffset val="100"/>
      </c:catAx>
      <c:valAx>
        <c:axId val="145900288"/>
        <c:scaling>
          <c:orientation val="minMax"/>
        </c:scaling>
        <c:axPos val="l"/>
        <c:numFmt formatCode="General" sourceLinked="1"/>
        <c:majorTickMark val="in"/>
        <c:tickLblPos val="nextTo"/>
        <c:spPr>
          <a:noFill/>
          <a:ln w="6350" cap="flat" cmpd="sng" algn="ctr">
            <a:noFill/>
            <a:prstDash val="solid"/>
            <a:round/>
          </a:ln>
          <a:effectLst/>
        </c:spPr>
        <c:txPr>
          <a:bodyPr rot="0" spcFirstLastPara="0" vertOverflow="ellipsis" horzOverflow="overflow"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145886208"/>
        <c:crosses val="autoZero"/>
        <c:crossBetween val="between"/>
      </c:valAx>
      <c:dTable>
        <c:showHorzBorder val="1"/>
        <c:showVertBorder val="1"/>
        <c:showOutline val="1"/>
        <c:showKeys val="1"/>
        <c:spPr>
          <a:noFill/>
          <a:ln w="9525" cap="flat" cmpd="sng" algn="ctr">
            <a:solidFill>
              <a:srgbClr val="D9D9D9">
                <a:lumMod val="15000"/>
                <a:lumOff val="85000"/>
              </a:srgbClr>
            </a:solidFill>
            <a:prstDash val="solid"/>
            <a:round/>
          </a:ln>
          <a:effectLst/>
        </c:spPr>
        <c:txPr>
          <a:bodyPr rot="0" spcFirstLastPara="0" vertOverflow="ellipsis" horzOverflow="overflow"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dTable>
      <c:spPr>
        <a:noFill/>
        <a:ln>
          <a:noFill/>
        </a:ln>
        <a:effectLst/>
      </c:spPr>
    </c:plotArea>
    <c:plotVisOnly val="1"/>
    <c:dispBlanksAs val="gap"/>
  </c:chart>
  <c:spPr>
    <a:solidFill>
      <a:srgbClr val="FFFFFF"/>
    </a:solidFill>
    <a:ln w="9525" cap="flat" cmpd="sng" algn="ctr">
      <a:solidFill>
        <a:srgbClr val="D9D9D9">
          <a:lumMod val="15000"/>
          <a:lumOff val="85000"/>
        </a:srgbClr>
      </a:solidFill>
      <a:prstDash val="solid"/>
      <a:round/>
    </a:ln>
    <a:effectLst/>
  </c:spPr>
  <c:txPr>
    <a:bodyPr rot="0" spcFirstLastPara="0" vertOverflow="ellipsis" horzOverflow="overflow" vert="horz" wrap="square" anchor="ctr" anchorCtr="1"/>
    <a:lstStyle/>
    <a:p>
      <a:pPr>
        <a:defRPr lang="zh-CN" sz="1000" kern="1200">
          <a:solidFill>
            <a:srgbClr val="000000"/>
          </a:solidFill>
          <a:latin typeface="+mn-lt"/>
          <a:ea typeface="+mn-ea"/>
          <a:cs typeface="+mn-cs"/>
        </a:defRPr>
      </a:pPr>
      <a:endParaRPr lang="zh-CN"/>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[不同性别毕业生的毕业流向.xls]Sheet1!$B$4</c:f>
              <c:strCache>
                <c:ptCount val="1"/>
                <c:pt idx="0">
                  <c:v>女</c:v>
                </c:pt>
              </c:strCache>
            </c:strRef>
          </c:tx>
          <c:spPr>
            <a:solidFill>
              <a:srgbClr val="4F81BD"/>
            </a:solidFill>
            <a:ln>
              <a:noFill/>
            </a:ln>
            <a:effectLst/>
          </c:spPr>
          <c:cat>
            <c:strRef>
              <c:f>[不同性别毕业生的毕业流向.xls]Sheet1!$C$3:$F$3</c:f>
              <c:strCache>
                <c:ptCount val="4"/>
                <c:pt idx="0">
                  <c:v>单位就业率</c:v>
                </c:pt>
                <c:pt idx="1">
                  <c:v>升学出国率</c:v>
                </c:pt>
                <c:pt idx="2">
                  <c:v>灵活就业率</c:v>
                </c:pt>
                <c:pt idx="3">
                  <c:v>未就业率</c:v>
                </c:pt>
              </c:strCache>
            </c:strRef>
          </c:cat>
          <c:val>
            <c:numRef>
              <c:f>[不同性别毕业生的毕业流向.xls]Sheet1!$C$4:$F$4</c:f>
              <c:numCache>
                <c:formatCode>0.00%</c:formatCode>
                <c:ptCount val="4"/>
                <c:pt idx="0">
                  <c:v>0.88839999999999997</c:v>
                </c:pt>
                <c:pt idx="1">
                  <c:v>3.8100000000000009E-2</c:v>
                </c:pt>
                <c:pt idx="2">
                  <c:v>5.5800000000000009E-2</c:v>
                </c:pt>
                <c:pt idx="3">
                  <c:v>1.7700000000000007E-2</c:v>
                </c:pt>
              </c:numCache>
            </c:numRef>
          </c:val>
        </c:ser>
        <c:ser>
          <c:idx val="1"/>
          <c:order val="1"/>
          <c:tx>
            <c:strRef>
              <c:f>[不同性别毕业生的毕业流向.xls]Sheet1!$B$5</c:f>
              <c:strCache>
                <c:ptCount val="1"/>
                <c:pt idx="0">
                  <c:v>男</c:v>
                </c:pt>
              </c:strCache>
            </c:strRef>
          </c:tx>
          <c:spPr>
            <a:solidFill>
              <a:srgbClr val="C0504D"/>
            </a:solidFill>
            <a:ln>
              <a:noFill/>
            </a:ln>
            <a:effectLst/>
          </c:spPr>
          <c:cat>
            <c:strRef>
              <c:f>[不同性别毕业生的毕业流向.xls]Sheet1!$C$3:$F$3</c:f>
              <c:strCache>
                <c:ptCount val="4"/>
                <c:pt idx="0">
                  <c:v>单位就业率</c:v>
                </c:pt>
                <c:pt idx="1">
                  <c:v>升学出国率</c:v>
                </c:pt>
                <c:pt idx="2">
                  <c:v>灵活就业率</c:v>
                </c:pt>
                <c:pt idx="3">
                  <c:v>未就业率</c:v>
                </c:pt>
              </c:strCache>
            </c:strRef>
          </c:cat>
          <c:val>
            <c:numRef>
              <c:f>[不同性别毕业生的毕业流向.xls]Sheet1!$C$5:$F$5</c:f>
              <c:numCache>
                <c:formatCode>0.00%</c:formatCode>
                <c:ptCount val="4"/>
                <c:pt idx="0">
                  <c:v>0.87640000000000018</c:v>
                </c:pt>
                <c:pt idx="1">
                  <c:v>5.1600000000000007E-2</c:v>
                </c:pt>
                <c:pt idx="2">
                  <c:v>4.480000000000002E-2</c:v>
                </c:pt>
                <c:pt idx="3">
                  <c:v>2.7200000000000009E-2</c:v>
                </c:pt>
              </c:numCache>
            </c:numRef>
          </c:val>
        </c:ser>
        <c:axId val="145934976"/>
        <c:axId val="145944960"/>
      </c:barChart>
      <c:catAx>
        <c:axId val="145934976"/>
        <c:scaling>
          <c:orientation val="minMax"/>
        </c:scaling>
        <c:axPos val="b"/>
        <c:majorTickMark val="none"/>
        <c:tickLblPos val="nextTo"/>
        <c:spPr>
          <a:noFill/>
          <a:ln w="9525" cap="flat" cmpd="sng" algn="ctr">
            <a:solidFill>
              <a:srgbClr val="D9D9D9">
                <a:lumMod val="15000"/>
                <a:lumOff val="85000"/>
              </a:srgbClr>
            </a:solidFill>
            <a:prstDash val="solid"/>
            <a:round/>
          </a:ln>
          <a:effectLst/>
        </c:spPr>
        <c:txPr>
          <a:bodyPr rot="0" spcFirstLastPara="0" vertOverflow="ellipsis" horzOverflow="overflow"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145944960"/>
        <c:crosses val="autoZero"/>
        <c:auto val="1"/>
        <c:lblAlgn val="ctr"/>
        <c:lblOffset val="100"/>
      </c:catAx>
      <c:valAx>
        <c:axId val="145944960"/>
        <c:scaling>
          <c:orientation val="minMax"/>
        </c:scaling>
        <c:axPos val="l"/>
        <c:majorGridlines>
          <c:spPr>
            <a:ln w="9525" cap="flat" cmpd="sng" algn="ctr">
              <a:solidFill>
                <a:srgbClr val="D9D9D9">
                  <a:lumMod val="15000"/>
                  <a:lumOff val="85000"/>
                </a:srgbClr>
              </a:solidFill>
              <a:prstDash val="solid"/>
              <a:round/>
            </a:ln>
            <a:effectLst/>
          </c:spPr>
        </c:majorGridlines>
        <c:numFmt formatCode="0.00%" sourceLinked="1"/>
        <c:majorTickMark val="none"/>
        <c:tickLblPos val="nextTo"/>
        <c:spPr>
          <a:noFill/>
          <a:ln w="9525" cap="flat" cmpd="sng" algn="ctr">
            <a:noFill/>
            <a:prstDash val="solid"/>
            <a:round/>
          </a:ln>
          <a:effectLst/>
        </c:spPr>
        <c:txPr>
          <a:bodyPr rot="-60000000" spcFirstLastPara="0" vertOverflow="ellipsis" horzOverflow="overflow"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145934976"/>
        <c:crosses val="autoZero"/>
        <c:crossBetween val="between"/>
      </c:valAx>
      <c:dTable>
        <c:showHorzBorder val="1"/>
        <c:showVertBorder val="1"/>
        <c:showOutline val="1"/>
        <c:showKeys val="1"/>
        <c:spPr>
          <a:noFill/>
          <a:ln w="9525" cap="flat" cmpd="sng" algn="ctr">
            <a:solidFill>
              <a:srgbClr val="D9D9D9">
                <a:lumMod val="15000"/>
                <a:lumOff val="85000"/>
              </a:srgbClr>
            </a:solidFill>
            <a:prstDash val="solid"/>
            <a:round/>
          </a:ln>
          <a:effectLst/>
        </c:spPr>
        <c:txPr>
          <a:bodyPr rot="0" spcFirstLastPara="0" vertOverflow="ellipsis" horzOverflow="overflow"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dTable>
      <c:spPr>
        <a:noFill/>
        <a:ln>
          <a:noFill/>
        </a:ln>
        <a:effectLst/>
      </c:spPr>
    </c:plotArea>
    <c:plotVisOnly val="1"/>
    <c:dispBlanksAs val="gap"/>
  </c:chart>
  <c:spPr>
    <a:solidFill>
      <a:srgbClr val="FFFFFF"/>
    </a:solidFill>
    <a:ln w="9525" cap="flat" cmpd="sng" algn="ctr">
      <a:solidFill>
        <a:srgbClr val="D9D9D9">
          <a:lumMod val="15000"/>
          <a:lumOff val="85000"/>
        </a:srgbClr>
      </a:solidFill>
      <a:prstDash val="solid"/>
      <a:round/>
    </a:ln>
    <a:effectLst/>
  </c:spPr>
  <c:txPr>
    <a:bodyPr rot="0" spcFirstLastPara="0" vertOverflow="ellipsis" horzOverflow="overflow" vert="horz" wrap="square" anchor="ctr" anchorCtr="1"/>
    <a:lstStyle/>
    <a:p>
      <a:pPr>
        <a:defRPr lang="zh-CN" sz="1000" kern="1200">
          <a:solidFill>
            <a:srgbClr val="000000"/>
          </a:solidFill>
          <a:latin typeface="+mn-lt"/>
          <a:ea typeface="+mn-ea"/>
          <a:cs typeface="+mn-cs"/>
        </a:defRPr>
      </a:pPr>
      <a:endParaRPr lang="zh-CN"/>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bar"/>
        <c:grouping val="clustered"/>
        <c:ser>
          <c:idx val="0"/>
          <c:order val="0"/>
          <c:spPr>
            <a:solidFill>
              <a:srgbClr val="4F81BD"/>
            </a:solidFill>
            <a:ln>
              <a:noFill/>
            </a:ln>
            <a:effectLst/>
          </c:spPr>
          <c:cat>
            <c:strRef>
              <c:f>[各学部单位就业率.xls]Sheet2!$C$3:$C$9</c:f>
              <c:strCache>
                <c:ptCount val="7"/>
                <c:pt idx="0">
                  <c:v>机关、中初等教育</c:v>
                </c:pt>
                <c:pt idx="1">
                  <c:v>非营利组织</c:v>
                </c:pt>
                <c:pt idx="2">
                  <c:v>国家、地方基层组织</c:v>
                </c:pt>
                <c:pt idx="3">
                  <c:v>医疗卫生单位</c:v>
                </c:pt>
                <c:pt idx="4">
                  <c:v>港澳台及外资企业</c:v>
                </c:pt>
                <c:pt idx="5">
                  <c:v>民营企业</c:v>
                </c:pt>
                <c:pt idx="6">
                  <c:v>国有及集团企业</c:v>
                </c:pt>
              </c:strCache>
            </c:strRef>
          </c:cat>
          <c:val>
            <c:numRef>
              <c:f>[各学部单位就业率.xls]Sheet2!$D$3:$D$9</c:f>
              <c:numCache>
                <c:formatCode>0.00%</c:formatCode>
                <c:ptCount val="7"/>
                <c:pt idx="0">
                  <c:v>6.7720090293453732E-3</c:v>
                </c:pt>
                <c:pt idx="1">
                  <c:v>9.0293453724605028E-3</c:v>
                </c:pt>
                <c:pt idx="2">
                  <c:v>6.7720090293453732E-3</c:v>
                </c:pt>
                <c:pt idx="3">
                  <c:v>0.28781038374717821</c:v>
                </c:pt>
                <c:pt idx="4">
                  <c:v>1.2415349887133199E-2</c:v>
                </c:pt>
                <c:pt idx="5">
                  <c:v>0.61568848758465022</c:v>
                </c:pt>
                <c:pt idx="6">
                  <c:v>6.7720090293453732E-3</c:v>
                </c:pt>
              </c:numCache>
            </c:numRef>
          </c:val>
        </c:ser>
        <c:gapWidth val="182"/>
        <c:axId val="145958016"/>
        <c:axId val="145959552"/>
      </c:barChart>
      <c:catAx>
        <c:axId val="145958016"/>
        <c:scaling>
          <c:orientation val="minMax"/>
        </c:scaling>
        <c:axPos val="l"/>
        <c:maj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145959552"/>
        <c:crosses val="autoZero"/>
        <c:auto val="1"/>
        <c:lblAlgn val="ctr"/>
        <c:lblOffset val="100"/>
      </c:catAx>
      <c:valAx>
        <c:axId val="145959552"/>
        <c:scaling>
          <c:orientation val="minMax"/>
        </c:scaling>
        <c:axPos val="b"/>
        <c:majorGridlines>
          <c:spPr>
            <a:ln w="9525" cap="flat" cmpd="sng" algn="ctr">
              <a:solidFill>
                <a:srgbClr val="D9D9D9">
                  <a:lumMod val="15000"/>
                  <a:lumOff val="85000"/>
                </a:srgbClr>
              </a:solidFill>
              <a:round/>
            </a:ln>
            <a:effectLst/>
          </c:spPr>
        </c:majorGridlines>
        <c:numFmt formatCode="0.00%" sourceLinked="1"/>
        <c:maj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145958016"/>
        <c:crosses val="autoZero"/>
        <c:crossBetween val="between"/>
      </c:valAx>
      <c:spPr>
        <a:noFill/>
        <a:ln>
          <a:noFill/>
        </a:ln>
        <a:effectLst/>
      </c:spPr>
    </c:plotArea>
    <c:plotVisOnly val="1"/>
    <c:dispBlanksAs val="gap"/>
  </c:chart>
  <c:spPr>
    <a:solidFill>
      <a:srgbClr val="FFFFFF"/>
    </a:solidFill>
    <a:ln w="9525" cap="flat" cmpd="sng" algn="ctr">
      <a:solidFill>
        <a:srgbClr val="D9D9D9">
          <a:lumMod val="15000"/>
          <a:lumOff val="85000"/>
        </a:srgbClr>
      </a:solidFill>
      <a:round/>
    </a:ln>
    <a:effectLst/>
  </c:spPr>
  <c:txPr>
    <a:bodyPr/>
    <a:lstStyle/>
    <a:p>
      <a:pPr>
        <a:defRPr lang="zh-CN"/>
      </a:pPr>
      <a:endParaRPr lang="zh-CN"/>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37051329622758211"/>
          <c:y val="5.6806002143622719E-2"/>
          <c:w val="0.58755720470006156"/>
          <c:h val="0.84917470525187622"/>
        </c:manualLayout>
      </c:layout>
      <c:barChart>
        <c:barDir val="bar"/>
        <c:grouping val="clustered"/>
        <c:ser>
          <c:idx val="0"/>
          <c:order val="0"/>
          <c:spPr>
            <a:solidFill>
              <a:srgbClr val="4F81BD"/>
            </a:solidFill>
            <a:ln>
              <a:noFill/>
            </a:ln>
            <a:effectLst/>
          </c:spP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[行业分布图.xls]Sheet2!$B$4:$B$23</c:f>
              <c:strCache>
                <c:ptCount val="20"/>
                <c:pt idx="0">
                  <c:v>农、林、牧、渔业</c:v>
                </c:pt>
                <c:pt idx="1">
                  <c:v>采矿业</c:v>
                </c:pt>
                <c:pt idx="2">
                  <c:v>制造业</c:v>
                </c:pt>
                <c:pt idx="3">
                  <c:v>电力、热力、燃气及水生产和供应业</c:v>
                </c:pt>
                <c:pt idx="4">
                  <c:v>建筑业</c:v>
                </c:pt>
                <c:pt idx="5">
                  <c:v>批发和零售业</c:v>
                </c:pt>
                <c:pt idx="6">
                  <c:v>交通运输、仓储和邮政业</c:v>
                </c:pt>
                <c:pt idx="7">
                  <c:v>住宿和餐饮业</c:v>
                </c:pt>
                <c:pt idx="8">
                  <c:v>信息传输、软件和信息技术服务业</c:v>
                </c:pt>
                <c:pt idx="9">
                  <c:v>金融业</c:v>
                </c:pt>
                <c:pt idx="10">
                  <c:v>房地产业</c:v>
                </c:pt>
                <c:pt idx="11">
                  <c:v>租赁和商务服务业</c:v>
                </c:pt>
                <c:pt idx="12">
                  <c:v>科学研究和技术服务业</c:v>
                </c:pt>
                <c:pt idx="13">
                  <c:v>水利、环境和公共设施管理业</c:v>
                </c:pt>
                <c:pt idx="14">
                  <c:v>居民服务、修理和其他服务业</c:v>
                </c:pt>
                <c:pt idx="15">
                  <c:v>教育</c:v>
                </c:pt>
                <c:pt idx="16">
                  <c:v>卫生和社会工作</c:v>
                </c:pt>
                <c:pt idx="17">
                  <c:v>文化、体育和娱乐业</c:v>
                </c:pt>
                <c:pt idx="18">
                  <c:v>公共管理、社会保障和社会组织</c:v>
                </c:pt>
                <c:pt idx="19">
                  <c:v>军队</c:v>
                </c:pt>
              </c:strCache>
            </c:strRef>
          </c:cat>
          <c:val>
            <c:numRef>
              <c:f>[行业分布图.xls]Sheet2!$C$4:$C$23</c:f>
              <c:numCache>
                <c:formatCode>0.00%</c:formatCode>
                <c:ptCount val="20"/>
                <c:pt idx="0">
                  <c:v>7.1216617210682533E-3</c:v>
                </c:pt>
                <c:pt idx="1">
                  <c:v>5.9347181008902118E-4</c:v>
                </c:pt>
                <c:pt idx="2">
                  <c:v>0.19881305637982205</c:v>
                </c:pt>
                <c:pt idx="3">
                  <c:v>7.1216617210682533E-3</c:v>
                </c:pt>
                <c:pt idx="4">
                  <c:v>4.3916913946587519E-2</c:v>
                </c:pt>
                <c:pt idx="5">
                  <c:v>7.5964391691394684E-2</c:v>
                </c:pt>
                <c:pt idx="6">
                  <c:v>1.2462908011869403E-2</c:v>
                </c:pt>
                <c:pt idx="7">
                  <c:v>6.5281899109792324E-3</c:v>
                </c:pt>
                <c:pt idx="8">
                  <c:v>0.10029673590504504</c:v>
                </c:pt>
                <c:pt idx="9">
                  <c:v>1.3649851632047506E-2</c:v>
                </c:pt>
                <c:pt idx="10">
                  <c:v>1.0682492581602402E-2</c:v>
                </c:pt>
                <c:pt idx="11">
                  <c:v>2.5519287833827901E-2</c:v>
                </c:pt>
                <c:pt idx="12">
                  <c:v>2.2551928783382805E-2</c:v>
                </c:pt>
                <c:pt idx="13">
                  <c:v>4.1543026706231502E-3</c:v>
                </c:pt>
                <c:pt idx="14">
                  <c:v>4.2729970326409503E-2</c:v>
                </c:pt>
                <c:pt idx="15">
                  <c:v>3.6201780415430304E-2</c:v>
                </c:pt>
                <c:pt idx="16">
                  <c:v>0.340059347181009</c:v>
                </c:pt>
                <c:pt idx="17">
                  <c:v>3.5608308605341227E-2</c:v>
                </c:pt>
                <c:pt idx="18">
                  <c:v>1.5430267062314502E-2</c:v>
                </c:pt>
                <c:pt idx="19">
                  <c:v>5.9347181008902118E-4</c:v>
                </c:pt>
              </c:numCache>
            </c:numRef>
          </c:val>
        </c:ser>
        <c:gapWidth val="182"/>
        <c:axId val="146007936"/>
        <c:axId val="146009472"/>
      </c:barChart>
      <c:catAx>
        <c:axId val="146007936"/>
        <c:scaling>
          <c:orientation val="minMax"/>
        </c:scaling>
        <c:axPos val="l"/>
        <c:majorTickMark val="none"/>
        <c:tickLblPos val="nextTo"/>
        <c:spPr>
          <a:noFill/>
          <a:ln w="9525" cap="flat" cmpd="sng" algn="ctr">
            <a:solidFill>
              <a:srgbClr val="D9D9D9">
                <a:lumMod val="15000"/>
                <a:lumOff val="85000"/>
              </a:srgbClr>
            </a:solidFill>
            <a:prstDash val="solid"/>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146009472"/>
        <c:crosses val="autoZero"/>
        <c:auto val="1"/>
        <c:lblAlgn val="ctr"/>
        <c:lblOffset val="100"/>
      </c:catAx>
      <c:valAx>
        <c:axId val="146009472"/>
        <c:scaling>
          <c:orientation val="minMax"/>
        </c:scaling>
        <c:axPos val="b"/>
        <c:majorGridlines>
          <c:spPr>
            <a:ln w="9525" cap="flat" cmpd="sng" algn="ctr">
              <a:solidFill>
                <a:srgbClr val="D9D9D9">
                  <a:lumMod val="15000"/>
                  <a:lumOff val="85000"/>
                </a:srgbClr>
              </a:solidFill>
              <a:prstDash val="solid"/>
              <a:round/>
            </a:ln>
            <a:effectLst/>
          </c:spPr>
        </c:majorGridlines>
        <c:numFmt formatCode="0.00%" sourceLinked="1"/>
        <c:maj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146007936"/>
        <c:crosses val="autoZero"/>
        <c:crossBetween val="between"/>
      </c:valAx>
      <c:spPr>
        <a:noFill/>
        <a:ln>
          <a:noFill/>
        </a:ln>
        <a:effectLst/>
      </c:spPr>
    </c:plotArea>
    <c:plotVisOnly val="1"/>
    <c:dispBlanksAs val="gap"/>
  </c:chart>
  <c:spPr>
    <a:solidFill>
      <a:srgbClr val="FFFFFF"/>
    </a:solidFill>
    <a:ln w="9525" cap="flat" cmpd="sng" algn="ctr">
      <a:solidFill>
        <a:srgbClr val="D9D9D9">
          <a:lumMod val="15000"/>
          <a:lumOff val="85000"/>
        </a:srgbClr>
      </a:solidFill>
      <a:prstDash val="solid"/>
      <a:round/>
    </a:ln>
    <a:effectLst/>
  </c:spPr>
  <c:txPr>
    <a:bodyPr wrap="square"/>
    <a:lstStyle/>
    <a:p>
      <a:pPr>
        <a:defRPr lang="zh-CN"/>
      </a:pPr>
      <a:endParaRPr lang="zh-CN"/>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t>杏林学院近三年就业率</a:t>
            </a:r>
          </a:p>
        </c:rich>
      </c:tx>
      <c:spPr>
        <a:noFill/>
        <a:ln>
          <a:noFill/>
        </a:ln>
        <a:effectLst/>
      </c:spPr>
    </c:title>
    <c:plotArea>
      <c:layout/>
      <c:lineChart>
        <c:grouping val="standard"/>
        <c:ser>
          <c:idx val="0"/>
          <c:order val="0"/>
          <c:tx>
            <c:strRef>
              <c:f>[各学部就业率表.xls]Sheet2!$B$3</c:f>
              <c:strCache>
                <c:ptCount val="1"/>
                <c:pt idx="0">
                  <c:v>初次就业率</c:v>
                </c:pt>
              </c:strCache>
            </c:strRef>
          </c:tx>
          <c:spPr>
            <a:ln w="28575" cap="rnd">
              <a:solidFill>
                <a:srgbClr val="4F81BD"/>
              </a:solidFill>
              <a:round/>
            </a:ln>
            <a:effectLst/>
          </c:spPr>
          <c:marker>
            <c:symbol val="circle"/>
            <c:size val="5"/>
            <c:spPr>
              <a:solidFill>
                <a:srgbClr val="4F81BD"/>
              </a:solidFill>
              <a:ln w="9525">
                <a:solidFill>
                  <a:srgbClr val="4F81BD"/>
                </a:solidFill>
              </a:ln>
              <a:effectLst/>
            </c:spPr>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endParaRPr lang="zh-CN"/>
              </a:p>
            </c:txPr>
            <c:dLblPos val="t"/>
            <c:showVal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[各学部就业率表.xls]Sheet2!$C$2:$E$2</c:f>
              <c:strCache>
                <c:ptCount val="3"/>
                <c:pt idx="0">
                  <c:v>2015年</c:v>
                </c:pt>
                <c:pt idx="1">
                  <c:v>2016年</c:v>
                </c:pt>
                <c:pt idx="2">
                  <c:v>2017年</c:v>
                </c:pt>
              </c:strCache>
            </c:strRef>
          </c:cat>
          <c:val>
            <c:numRef>
              <c:f>[各学部就业率表.xls]Sheet2!$C$3:$E$3</c:f>
              <c:numCache>
                <c:formatCode>0.00%</c:formatCode>
                <c:ptCount val="3"/>
                <c:pt idx="0">
                  <c:v>0.87850000000000017</c:v>
                </c:pt>
                <c:pt idx="1">
                  <c:v>0.88190000000000002</c:v>
                </c:pt>
                <c:pt idx="2">
                  <c:v>0.85260000000000025</c:v>
                </c:pt>
              </c:numCache>
            </c:numRef>
          </c:val>
        </c:ser>
        <c:ser>
          <c:idx val="1"/>
          <c:order val="1"/>
          <c:tx>
            <c:strRef>
              <c:f>[各学部就业率表.xls]Sheet2!$B$4</c:f>
              <c:strCache>
                <c:ptCount val="1"/>
                <c:pt idx="0">
                  <c:v>年终就业率</c:v>
                </c:pt>
              </c:strCache>
            </c:strRef>
          </c:tx>
          <c:spPr>
            <a:ln w="28575" cap="rnd">
              <a:solidFill>
                <a:srgbClr val="C0504D"/>
              </a:solidFill>
              <a:round/>
            </a:ln>
            <a:effectLst/>
          </c:spPr>
          <c:marker>
            <c:symbol val="circle"/>
            <c:size val="5"/>
            <c:spPr>
              <a:solidFill>
                <a:srgbClr val="C0504D"/>
              </a:solidFill>
              <a:ln w="9525">
                <a:solidFill>
                  <a:srgbClr val="C0504D"/>
                </a:solidFill>
              </a:ln>
              <a:effectLst/>
            </c:spPr>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endParaRPr lang="zh-CN"/>
              </a:p>
            </c:txPr>
            <c:dLblPos val="t"/>
            <c:showVal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[各学部就业率表.xls]Sheet2!$C$2:$E$2</c:f>
              <c:strCache>
                <c:ptCount val="3"/>
                <c:pt idx="0">
                  <c:v>2015年</c:v>
                </c:pt>
                <c:pt idx="1">
                  <c:v>2016年</c:v>
                </c:pt>
                <c:pt idx="2">
                  <c:v>2017年</c:v>
                </c:pt>
              </c:strCache>
            </c:strRef>
          </c:cat>
          <c:val>
            <c:numRef>
              <c:f>[各学部就业率表.xls]Sheet2!$C$4:$E$4</c:f>
              <c:numCache>
                <c:formatCode>0.00%</c:formatCode>
                <c:ptCount val="3"/>
                <c:pt idx="0">
                  <c:v>0.97920000000000018</c:v>
                </c:pt>
                <c:pt idx="1">
                  <c:v>0.98060000000000003</c:v>
                </c:pt>
                <c:pt idx="2">
                  <c:v>0.97790000000000021</c:v>
                </c:pt>
              </c:numCache>
            </c:numRef>
          </c:val>
        </c:ser>
        <c:ser>
          <c:idx val="2"/>
          <c:order val="2"/>
          <c:tx>
            <c:strRef>
              <c:f>[各学部就业率表.xls]Sheet2!$B$5</c:f>
              <c:strCache>
                <c:ptCount val="1"/>
                <c:pt idx="0">
                  <c:v>总协议率</c:v>
                </c:pt>
              </c:strCache>
            </c:strRef>
          </c:tx>
          <c:spPr>
            <a:ln w="28575" cap="rnd">
              <a:solidFill>
                <a:srgbClr val="9BBB59"/>
              </a:solidFill>
              <a:round/>
            </a:ln>
            <a:effectLst/>
          </c:spPr>
          <c:marker>
            <c:symbol val="circle"/>
            <c:size val="5"/>
            <c:spPr>
              <a:solidFill>
                <a:srgbClr val="9BBB59"/>
              </a:solidFill>
              <a:ln w="9525">
                <a:solidFill>
                  <a:srgbClr val="9BBB59"/>
                </a:solidFill>
              </a:ln>
              <a:effectLst/>
            </c:spPr>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endParaRPr lang="zh-CN"/>
              </a:p>
            </c:txPr>
            <c:dLblPos val="t"/>
            <c:showVal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[各学部就业率表.xls]Sheet2!$C$2:$E$2</c:f>
              <c:strCache>
                <c:ptCount val="3"/>
                <c:pt idx="0">
                  <c:v>2015年</c:v>
                </c:pt>
                <c:pt idx="1">
                  <c:v>2016年</c:v>
                </c:pt>
                <c:pt idx="2">
                  <c:v>2017年</c:v>
                </c:pt>
              </c:strCache>
            </c:strRef>
          </c:cat>
          <c:val>
            <c:numRef>
              <c:f>[各学部就业率表.xls]Sheet2!$C$5:$E$5</c:f>
              <c:numCache>
                <c:formatCode>0.00%</c:formatCode>
                <c:ptCount val="3"/>
                <c:pt idx="0">
                  <c:v>0.95340000000000003</c:v>
                </c:pt>
                <c:pt idx="1">
                  <c:v>0.95520000000000005</c:v>
                </c:pt>
                <c:pt idx="2">
                  <c:v>0.92600000000000005</c:v>
                </c:pt>
              </c:numCache>
            </c:numRef>
          </c:val>
        </c:ser>
        <c:dLbls>
          <c:showVal val="1"/>
        </c:dLbls>
        <c:marker val="1"/>
        <c:axId val="146056320"/>
        <c:axId val="146057856"/>
      </c:lineChart>
      <c:catAx>
        <c:axId val="146056320"/>
        <c:scaling>
          <c:orientation val="minMax"/>
        </c:scaling>
        <c:axPos val="b"/>
        <c:maj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146057856"/>
        <c:crosses val="autoZero"/>
        <c:auto val="1"/>
        <c:lblAlgn val="ctr"/>
        <c:lblOffset val="100"/>
      </c:catAx>
      <c:valAx>
        <c:axId val="146057856"/>
        <c:scaling>
          <c:orientation val="minMax"/>
        </c:scaling>
        <c:axPos val="l"/>
        <c:majorGridlines>
          <c:spPr>
            <a:ln w="9525" cap="flat" cmpd="sng" algn="ctr">
              <a:solidFill>
                <a:srgbClr val="D9D9D9">
                  <a:lumMod val="15000"/>
                  <a:lumOff val="85000"/>
                </a:srgbClr>
              </a:solidFill>
              <a:round/>
            </a:ln>
            <a:effectLst/>
          </c:spPr>
        </c:majorGridlines>
        <c:numFmt formatCode="0.00%" sourceLinked="1"/>
        <c:maj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146056320"/>
        <c:crosses val="autoZero"/>
        <c:crossBetween val="between"/>
      </c:valAx>
      <c:spPr>
        <a:noFill/>
        <a:ln>
          <a:noFill/>
        </a:ln>
        <a:effectLst/>
      </c:spPr>
    </c:plotArea>
    <c:legend>
      <c:legendPos val="b"/>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legend>
    <c:plotVisOnly val="1"/>
    <c:dispBlanksAs val="gap"/>
  </c:chart>
  <c:spPr>
    <a:solidFill>
      <a:srgbClr val="FFFFFF"/>
    </a:solidFill>
    <a:ln w="9525" cap="flat" cmpd="sng" algn="ctr">
      <a:solidFill>
        <a:srgbClr val="D9D9D9">
          <a:lumMod val="15000"/>
          <a:lumOff val="85000"/>
        </a:srgbClr>
      </a:solidFill>
      <a:round/>
    </a:ln>
    <a:effectLst/>
  </c:spPr>
  <c:txPr>
    <a:bodyPr/>
    <a:lstStyle/>
    <a:p>
      <a:pPr>
        <a:defRPr lang="zh-CN"/>
      </a:pPr>
      <a:endParaRPr lang="zh-CN"/>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[各学部单位就业率.xls]Sheet3!$B$3</c:f>
              <c:strCache>
                <c:ptCount val="1"/>
                <c:pt idx="0">
                  <c:v>协议就业率</c:v>
                </c:pt>
              </c:strCache>
            </c:strRef>
          </c:tx>
          <c:spPr>
            <a:solidFill>
              <a:srgbClr val="4F81BD"/>
            </a:solidFill>
            <a:ln>
              <a:noFill/>
            </a:ln>
            <a:effectLst/>
          </c:spP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[各学部单位就业率.xls]Sheet3!$C$2:$E$2</c:f>
              <c:strCache>
                <c:ptCount val="3"/>
                <c:pt idx="0">
                  <c:v>2015届</c:v>
                </c:pt>
                <c:pt idx="1">
                  <c:v>2016届</c:v>
                </c:pt>
                <c:pt idx="2">
                  <c:v>2017届</c:v>
                </c:pt>
              </c:strCache>
            </c:strRef>
          </c:cat>
          <c:val>
            <c:numRef>
              <c:f>[各学部单位就业率.xls]Sheet3!$C$3:$E$3</c:f>
              <c:numCache>
                <c:formatCode>0.00%</c:formatCode>
                <c:ptCount val="3"/>
                <c:pt idx="0">
                  <c:v>0.91539999999999999</c:v>
                </c:pt>
                <c:pt idx="1">
                  <c:v>0.91910000000000003</c:v>
                </c:pt>
                <c:pt idx="2">
                  <c:v>0.88239999999999996</c:v>
                </c:pt>
              </c:numCache>
            </c:numRef>
          </c:val>
        </c:ser>
        <c:ser>
          <c:idx val="1"/>
          <c:order val="1"/>
          <c:tx>
            <c:strRef>
              <c:f>[各学部单位就业率.xls]Sheet3!$B$4</c:f>
              <c:strCache>
                <c:ptCount val="1"/>
                <c:pt idx="0">
                  <c:v>升学出国率</c:v>
                </c:pt>
              </c:strCache>
            </c:strRef>
          </c:tx>
          <c:spPr>
            <a:solidFill>
              <a:srgbClr val="C0504D"/>
            </a:solidFill>
            <a:ln>
              <a:noFill/>
            </a:ln>
            <a:effectLst/>
          </c:spP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[各学部单位就业率.xls]Sheet3!$C$2:$E$2</c:f>
              <c:strCache>
                <c:ptCount val="3"/>
                <c:pt idx="0">
                  <c:v>2015届</c:v>
                </c:pt>
                <c:pt idx="1">
                  <c:v>2016届</c:v>
                </c:pt>
                <c:pt idx="2">
                  <c:v>2017届</c:v>
                </c:pt>
              </c:strCache>
            </c:strRef>
          </c:cat>
          <c:val>
            <c:numRef>
              <c:f>[各学部单位就业率.xls]Sheet3!$C$4:$E$4</c:f>
              <c:numCache>
                <c:formatCode>0.00%</c:formatCode>
                <c:ptCount val="3"/>
                <c:pt idx="0">
                  <c:v>3.8000000000000006E-2</c:v>
                </c:pt>
                <c:pt idx="1">
                  <c:v>3.6100000000000014E-2</c:v>
                </c:pt>
                <c:pt idx="2">
                  <c:v>4.3600000000000007E-2</c:v>
                </c:pt>
              </c:numCache>
            </c:numRef>
          </c:val>
        </c:ser>
        <c:ser>
          <c:idx val="2"/>
          <c:order val="2"/>
          <c:tx>
            <c:strRef>
              <c:f>[各学部单位就业率.xls]Sheet3!$B$5</c:f>
              <c:strCache>
                <c:ptCount val="1"/>
                <c:pt idx="0">
                  <c:v>灵活就业率</c:v>
                </c:pt>
              </c:strCache>
            </c:strRef>
          </c:tx>
          <c:spPr>
            <a:solidFill>
              <a:srgbClr val="9BBB59"/>
            </a:solidFill>
            <a:ln>
              <a:noFill/>
            </a:ln>
            <a:effectLst/>
          </c:spP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[各学部单位就业率.xls]Sheet3!$C$2:$E$2</c:f>
              <c:strCache>
                <c:ptCount val="3"/>
                <c:pt idx="0">
                  <c:v>2015届</c:v>
                </c:pt>
                <c:pt idx="1">
                  <c:v>2016届</c:v>
                </c:pt>
                <c:pt idx="2">
                  <c:v>2017届</c:v>
                </c:pt>
              </c:strCache>
            </c:strRef>
          </c:cat>
          <c:val>
            <c:numRef>
              <c:f>[各学部单位就业率.xls]Sheet3!$C$5:$E$5</c:f>
              <c:numCache>
                <c:formatCode>0.00%</c:formatCode>
                <c:ptCount val="3"/>
                <c:pt idx="0">
                  <c:v>2.5800000000000007E-2</c:v>
                </c:pt>
                <c:pt idx="1">
                  <c:v>2.5400000000000006E-2</c:v>
                </c:pt>
                <c:pt idx="2">
                  <c:v>5.1900000000000002E-2</c:v>
                </c:pt>
              </c:numCache>
            </c:numRef>
          </c:val>
        </c:ser>
        <c:dLbls>
          <c:showVal val="1"/>
        </c:dLbls>
        <c:gapWidth val="219"/>
        <c:overlap val="-27"/>
        <c:axId val="146109568"/>
        <c:axId val="146111104"/>
      </c:barChart>
      <c:catAx>
        <c:axId val="146109568"/>
        <c:scaling>
          <c:orientation val="minMax"/>
        </c:scaling>
        <c:axPos val="b"/>
        <c:maj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146111104"/>
        <c:crosses val="autoZero"/>
        <c:auto val="1"/>
        <c:lblAlgn val="ctr"/>
        <c:lblOffset val="100"/>
      </c:catAx>
      <c:valAx>
        <c:axId val="146111104"/>
        <c:scaling>
          <c:orientation val="minMax"/>
        </c:scaling>
        <c:axPos val="l"/>
        <c:majorGridlines>
          <c:spPr>
            <a:ln w="9525" cap="flat" cmpd="sng" algn="ctr">
              <a:solidFill>
                <a:srgbClr val="D9D9D9">
                  <a:lumMod val="15000"/>
                  <a:lumOff val="85000"/>
                </a:srgbClr>
              </a:solidFill>
              <a:round/>
            </a:ln>
            <a:effectLst/>
          </c:spPr>
        </c:majorGridlines>
        <c:numFmt formatCode="0.00%" sourceLinked="1"/>
        <c:maj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146109568"/>
        <c:crosses val="autoZero"/>
        <c:crossBetween val="between"/>
      </c:valAx>
      <c:spPr>
        <a:noFill/>
        <a:ln>
          <a:noFill/>
        </a:ln>
        <a:effectLst/>
      </c:spPr>
    </c:plotArea>
    <c:legend>
      <c:legendPos val="b"/>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legend>
    <c:plotVisOnly val="1"/>
    <c:dispBlanksAs val="gap"/>
  </c:chart>
  <c:spPr>
    <a:solidFill>
      <a:srgbClr val="FFFFFF"/>
    </a:solidFill>
    <a:ln w="9525" cap="flat" cmpd="sng" algn="ctr">
      <a:solidFill>
        <a:srgbClr val="D9D9D9">
          <a:lumMod val="15000"/>
          <a:lumOff val="85000"/>
        </a:srgbClr>
      </a:solidFill>
      <a:round/>
    </a:ln>
    <a:effectLst/>
  </c:spPr>
  <c:txPr>
    <a:bodyPr/>
    <a:lstStyle/>
    <a:p>
      <a:pPr>
        <a:defRPr lang="zh-CN"/>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pieChart>
        <c:varyColors val="1"/>
        <c:ser>
          <c:idx val="0"/>
          <c:order val="0"/>
          <c:dPt>
            <c:idx val="0"/>
            <c:spPr>
              <a:solidFill>
                <a:srgbClr val="4F81BD"/>
              </a:solidFill>
              <a:ln w="19050">
                <a:solidFill>
                  <a:srgbClr val="FFFFFF"/>
                </a:solidFill>
              </a:ln>
              <a:effectLst/>
            </c:spPr>
          </c:dPt>
          <c:dPt>
            <c:idx val="1"/>
            <c:spPr>
              <a:solidFill>
                <a:srgbClr val="C0504D"/>
              </a:solidFill>
              <a:ln w="19050">
                <a:solidFill>
                  <a:srgbClr val="FFFFFF"/>
                </a:solidFill>
              </a:ln>
              <a:effectLst/>
            </c:spPr>
          </c:dPt>
          <c:dLbls>
            <c:dLbl>
              <c:idx val="0"/>
              <c:layout>
                <c:manualLayout>
                  <c:x val="-0.14549701158865805"/>
                  <c:y val="7.2154421033053931E-2"/>
                </c:manualLayout>
              </c:layout>
              <c:tx>
                <c:rich>
                  <a:bodyPr/>
                  <a:lstStyle/>
                  <a:p>
                    <a:r>
                      <a:rPr lang="en-US" altLang="zh-CN"/>
                      <a:t>40.64%</a:t>
                    </a:r>
                  </a:p>
                  <a:p>
                    <a:r>
                      <a:rPr altLang="en-US"/>
                      <a:t>（</a:t>
                    </a:r>
                    <a:r>
                      <a:t>736人）</a:t>
                    </a:r>
                  </a:p>
                </c:rich>
              </c:tx>
              <c:dLblPos val="bestFit"/>
              <c:showVal val="1"/>
              <c:extLst>
                <c:ext xmlns:c15="http://schemas.microsoft.com/office/drawing/2012/chart" uri="{CE6537A1-D6FC-4f65-9D91-7224C49458BB}">
                  <c15:layout/>
                </c:ext>
              </c:extLst>
            </c:dLbl>
            <c:dLbl>
              <c:idx val="1"/>
              <c:layout>
                <c:manualLayout>
                  <c:x val="0.16713598956985701"/>
                  <c:y val="-8.4746863054821542E-2"/>
                </c:manualLayout>
              </c:layout>
              <c:tx>
                <c:rich>
                  <a:bodyPr/>
                  <a:lstStyle/>
                  <a:p>
                    <a:r>
                      <a:rPr lang="en-US" altLang="zh-CN"/>
                      <a:t>59.36%</a:t>
                    </a:r>
                  </a:p>
                  <a:p>
                    <a:r>
                      <a:t>（1075人）</a:t>
                    </a:r>
                  </a:p>
                </c:rich>
              </c:tx>
              <c:dLblPos val="bestFit"/>
              <c:showVal val="1"/>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endParaRPr lang="zh-CN"/>
              </a:p>
            </c:txPr>
            <c:dLblPos val="bestFit"/>
            <c:showVal val="1"/>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'[新建 Microsoft Excel 97-2003 工作表.xls]Sheet1'!$F$16:$F$17</c:f>
              <c:strCache>
                <c:ptCount val="2"/>
                <c:pt idx="0">
                  <c:v>男</c:v>
                </c:pt>
                <c:pt idx="1">
                  <c:v>女</c:v>
                </c:pt>
              </c:strCache>
            </c:strRef>
          </c:cat>
          <c:val>
            <c:numRef>
              <c:f>'[新建 Microsoft Excel 97-2003 工作表.xls]Sheet1'!$G$16:$G$17</c:f>
              <c:numCache>
                <c:formatCode>General</c:formatCode>
                <c:ptCount val="2"/>
                <c:pt idx="0">
                  <c:v>736</c:v>
                </c:pt>
                <c:pt idx="1">
                  <c:v>1075</c:v>
                </c:pt>
              </c:numCache>
            </c:numRef>
          </c:val>
        </c:ser>
        <c:dLbls>
          <c:showVal val="1"/>
        </c:dLbls>
        <c:firstSliceAng val="0"/>
      </c:pieChart>
      <c:spPr>
        <a:noFill/>
        <a:ln>
          <a:noFill/>
        </a:ln>
        <a:effectLst/>
      </c:spPr>
    </c:plotArea>
    <c:legend>
      <c:legendPos val="b"/>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legend>
    <c:plotVisOnly val="1"/>
    <c:dispBlanksAs val="zero"/>
  </c:chart>
  <c:spPr>
    <a:solidFill>
      <a:srgbClr val="FFFFFF"/>
    </a:solidFill>
    <a:ln w="9525" cap="flat" cmpd="sng" algn="ctr">
      <a:solidFill>
        <a:srgbClr val="D9D9D9">
          <a:lumMod val="15000"/>
          <a:lumOff val="85000"/>
        </a:srgbClr>
      </a:solidFill>
      <a:round/>
    </a:ln>
    <a:effectLst/>
  </c:spPr>
  <c:txPr>
    <a:bodyPr/>
    <a:lstStyle/>
    <a:p>
      <a:pPr>
        <a:defRPr lang="zh-CN"/>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[各学部就业率表.xls]Sheet1!$A$3</c:f>
              <c:strCache>
                <c:ptCount val="1"/>
                <c:pt idx="0">
                  <c:v>年终就业率</c:v>
                </c:pt>
              </c:strCache>
            </c:strRef>
          </c:tx>
          <c:spPr>
            <a:solidFill>
              <a:srgbClr val="4F81BD"/>
            </a:solidFill>
            <a:ln>
              <a:noFill/>
            </a:ln>
            <a:effectLst/>
          </c:spPr>
          <c:cat>
            <c:strRef>
              <c:f>[各学部就业率表.xls]Sheet1!$B$2:$H$2</c:f>
              <c:strCache>
                <c:ptCount val="7"/>
                <c:pt idx="0">
                  <c:v>人文学部</c:v>
                </c:pt>
                <c:pt idx="1">
                  <c:v>理学部</c:v>
                </c:pt>
                <c:pt idx="2">
                  <c:v>经济与管理学部</c:v>
                </c:pt>
                <c:pt idx="3">
                  <c:v>信息科学部</c:v>
                </c:pt>
                <c:pt idx="4">
                  <c:v>工程学部</c:v>
                </c:pt>
                <c:pt idx="5">
                  <c:v>医学部（四）</c:v>
                </c:pt>
                <c:pt idx="6">
                  <c:v>医学部（五）</c:v>
                </c:pt>
              </c:strCache>
            </c:strRef>
          </c:cat>
          <c:val>
            <c:numRef>
              <c:f>[各学部就业率表.xls]Sheet1!$B$3:$H$3</c:f>
              <c:numCache>
                <c:formatCode>0%</c:formatCode>
                <c:ptCount val="7"/>
                <c:pt idx="0">
                  <c:v>1</c:v>
                </c:pt>
                <c:pt idx="1">
                  <c:v>1</c:v>
                </c:pt>
                <c:pt idx="2" formatCode="0.00%">
                  <c:v>0.99170000000000003</c:v>
                </c:pt>
                <c:pt idx="3" formatCode="0.00%">
                  <c:v>0.99590000000000001</c:v>
                </c:pt>
                <c:pt idx="4" formatCode="0.00%">
                  <c:v>1</c:v>
                </c:pt>
                <c:pt idx="5" formatCode="0.00%">
                  <c:v>0.99590000000000001</c:v>
                </c:pt>
                <c:pt idx="6" formatCode="0.00%">
                  <c:v>0.91149999999999998</c:v>
                </c:pt>
              </c:numCache>
            </c:numRef>
          </c:val>
        </c:ser>
        <c:gapWidth val="219"/>
        <c:overlap val="-27"/>
        <c:axId val="145631488"/>
        <c:axId val="145637376"/>
      </c:barChart>
      <c:catAx>
        <c:axId val="145631488"/>
        <c:scaling>
          <c:orientation val="minMax"/>
        </c:scaling>
        <c:axPos val="b"/>
        <c:majorTickMark val="in"/>
        <c:tickLblPos val="nextTo"/>
        <c:spPr>
          <a:noFill/>
          <a:ln w="9525" cap="flat" cmpd="sng" algn="ctr">
            <a:solidFill>
              <a:srgbClr val="D9D9D9">
                <a:lumMod val="15000"/>
                <a:lumOff val="85000"/>
              </a:srgbClr>
            </a:solidFill>
            <a:prstDash val="solid"/>
            <a:round/>
          </a:ln>
          <a:effectLst/>
        </c:spPr>
        <c:txPr>
          <a:bodyPr rot="-60000000" spcFirstLastPara="0" vertOverflow="ellipsis" horzOverflow="overflow"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145637376"/>
        <c:crosses val="autoZero"/>
        <c:auto val="1"/>
        <c:lblAlgn val="ctr"/>
        <c:lblOffset val="100"/>
      </c:catAx>
      <c:valAx>
        <c:axId val="145637376"/>
        <c:scaling>
          <c:orientation val="minMax"/>
        </c:scaling>
        <c:axPos val="l"/>
        <c:numFmt formatCode="0%" sourceLinked="1"/>
        <c:majorTickMark val="in"/>
        <c:tickLblPos val="nextTo"/>
        <c:spPr>
          <a:noFill/>
          <a:ln w="6350" cap="flat" cmpd="sng" algn="ctr">
            <a:noFill/>
            <a:prstDash val="solid"/>
            <a:round/>
          </a:ln>
          <a:effectLst/>
        </c:spPr>
        <c:txPr>
          <a:bodyPr rot="0" spcFirstLastPara="0" vertOverflow="ellipsis" horzOverflow="overflow"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145631488"/>
        <c:crosses val="autoZero"/>
        <c:crossBetween val="between"/>
      </c:valAx>
      <c:dTable>
        <c:showHorzBorder val="1"/>
        <c:showVertBorder val="1"/>
        <c:showOutline val="1"/>
        <c:showKeys val="1"/>
        <c:spPr>
          <a:noFill/>
          <a:ln w="9525" cap="flat" cmpd="sng" algn="ctr">
            <a:solidFill>
              <a:srgbClr val="D9D9D9">
                <a:lumMod val="15000"/>
                <a:lumOff val="85000"/>
              </a:srgbClr>
            </a:solidFill>
            <a:prstDash val="solid"/>
            <a:round/>
          </a:ln>
          <a:effectLst/>
        </c:spPr>
        <c:txPr>
          <a:bodyPr rot="0" spcFirstLastPara="0" vertOverflow="ellipsis" horzOverflow="overflow"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dTable>
      <c:spPr>
        <a:noFill/>
        <a:ln>
          <a:noFill/>
        </a:ln>
        <a:effectLst/>
      </c:spPr>
    </c:plotArea>
    <c:plotVisOnly val="1"/>
    <c:dispBlanksAs val="gap"/>
  </c:chart>
  <c:spPr>
    <a:solidFill>
      <a:srgbClr val="FFFFFF"/>
    </a:solidFill>
    <a:ln w="9525" cap="flat" cmpd="sng" algn="ctr">
      <a:solidFill>
        <a:srgbClr val="D9D9D9">
          <a:lumMod val="15000"/>
          <a:lumOff val="85000"/>
        </a:srgbClr>
      </a:solidFill>
      <a:prstDash val="solid"/>
      <a:round/>
    </a:ln>
    <a:effectLst/>
  </c:spPr>
  <c:txPr>
    <a:bodyPr rot="0" spcFirstLastPara="0" vertOverflow="ellipsis" horzOverflow="overflow" vert="horz" wrap="square" anchor="ctr" anchorCtr="1"/>
    <a:lstStyle/>
    <a:p>
      <a:pPr>
        <a:defRPr lang="zh-CN" sz="1000" kern="1200">
          <a:solidFill>
            <a:srgbClr val="000000"/>
          </a:solidFill>
          <a:latin typeface="+mn-lt"/>
          <a:ea typeface="+mn-ea"/>
          <a:cs typeface="+mn-cs"/>
        </a:defRPr>
      </a:pPr>
      <a:endParaRPr lang="zh-CN"/>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[各学部男女就业率.xls]Sheet1!$B$3</c:f>
              <c:strCache>
                <c:ptCount val="1"/>
                <c:pt idx="0">
                  <c:v>男</c:v>
                </c:pt>
              </c:strCache>
            </c:strRef>
          </c:tx>
          <c:spPr>
            <a:solidFill>
              <a:srgbClr val="4F81BD"/>
            </a:solidFill>
            <a:ln>
              <a:noFill/>
            </a:ln>
            <a:effectLst/>
          </c:spPr>
          <c:cat>
            <c:strRef>
              <c:f>[各学部男女就业率.xls]Sheet1!$C$2:$I$2</c:f>
              <c:strCache>
                <c:ptCount val="7"/>
                <c:pt idx="0">
                  <c:v>人文学部</c:v>
                </c:pt>
                <c:pt idx="1">
                  <c:v>理学部</c:v>
                </c:pt>
                <c:pt idx="2">
                  <c:v>经管学部</c:v>
                </c:pt>
                <c:pt idx="3">
                  <c:v>信科学部</c:v>
                </c:pt>
                <c:pt idx="4">
                  <c:v>工程学部</c:v>
                </c:pt>
                <c:pt idx="5">
                  <c:v>医学部（四）</c:v>
                </c:pt>
                <c:pt idx="6">
                  <c:v>医学部（五）</c:v>
                </c:pt>
              </c:strCache>
            </c:strRef>
          </c:cat>
          <c:val>
            <c:numRef>
              <c:f>[各学部男女就业率.xls]Sheet1!$C$3:$I$3</c:f>
              <c:numCache>
                <c:formatCode>0.00%</c:formatCode>
                <c:ptCount val="7"/>
                <c:pt idx="0">
                  <c:v>1</c:v>
                </c:pt>
                <c:pt idx="1">
                  <c:v>1</c:v>
                </c:pt>
                <c:pt idx="2">
                  <c:v>0.98039999999999983</c:v>
                </c:pt>
                <c:pt idx="3">
                  <c:v>0.99419999999999997</c:v>
                </c:pt>
                <c:pt idx="4">
                  <c:v>1</c:v>
                </c:pt>
                <c:pt idx="5">
                  <c:v>0.96970000000000023</c:v>
                </c:pt>
                <c:pt idx="6">
                  <c:v>0.90820000000000001</c:v>
                </c:pt>
              </c:numCache>
            </c:numRef>
          </c:val>
        </c:ser>
        <c:ser>
          <c:idx val="1"/>
          <c:order val="1"/>
          <c:tx>
            <c:strRef>
              <c:f>[各学部男女就业率.xls]Sheet1!$B$4</c:f>
              <c:strCache>
                <c:ptCount val="1"/>
                <c:pt idx="0">
                  <c:v>女</c:v>
                </c:pt>
              </c:strCache>
            </c:strRef>
          </c:tx>
          <c:spPr>
            <a:solidFill>
              <a:srgbClr val="C0504D"/>
            </a:solidFill>
            <a:ln>
              <a:noFill/>
            </a:ln>
            <a:effectLst/>
          </c:spPr>
          <c:cat>
            <c:strRef>
              <c:f>[各学部男女就业率.xls]Sheet1!$C$2:$I$2</c:f>
              <c:strCache>
                <c:ptCount val="7"/>
                <c:pt idx="0">
                  <c:v>人文学部</c:v>
                </c:pt>
                <c:pt idx="1">
                  <c:v>理学部</c:v>
                </c:pt>
                <c:pt idx="2">
                  <c:v>经管学部</c:v>
                </c:pt>
                <c:pt idx="3">
                  <c:v>信科学部</c:v>
                </c:pt>
                <c:pt idx="4">
                  <c:v>工程学部</c:v>
                </c:pt>
                <c:pt idx="5">
                  <c:v>医学部（四）</c:v>
                </c:pt>
                <c:pt idx="6">
                  <c:v>医学部（五）</c:v>
                </c:pt>
              </c:strCache>
            </c:strRef>
          </c:cat>
          <c:val>
            <c:numRef>
              <c:f>[各学部男女就业率.xls]Sheet1!$C$4:$I$4</c:f>
              <c:numCache>
                <c:formatCode>0.00%</c:formatCode>
                <c:ptCount val="7"/>
                <c:pt idx="0">
                  <c:v>1</c:v>
                </c:pt>
                <c:pt idx="1">
                  <c:v>1</c:v>
                </c:pt>
                <c:pt idx="2">
                  <c:v>0.99470000000000003</c:v>
                </c:pt>
                <c:pt idx="3">
                  <c:v>1</c:v>
                </c:pt>
                <c:pt idx="4">
                  <c:v>1</c:v>
                </c:pt>
                <c:pt idx="5">
                  <c:v>1</c:v>
                </c:pt>
                <c:pt idx="6">
                  <c:v>0.91473000000000004</c:v>
                </c:pt>
              </c:numCache>
            </c:numRef>
          </c:val>
        </c:ser>
        <c:gapWidth val="219"/>
        <c:overlap val="-27"/>
        <c:axId val="145663872"/>
        <c:axId val="145665408"/>
      </c:barChart>
      <c:catAx>
        <c:axId val="145663872"/>
        <c:scaling>
          <c:orientation val="minMax"/>
        </c:scaling>
        <c:axPos val="b"/>
        <c:majorTickMark val="none"/>
        <c:tickLblPos val="nextTo"/>
        <c:spPr>
          <a:noFill/>
          <a:ln w="9525" cap="flat" cmpd="sng" algn="ctr">
            <a:solidFill>
              <a:srgbClr val="D9D9D9">
                <a:lumMod val="15000"/>
                <a:lumOff val="85000"/>
              </a:srgbClr>
            </a:solidFill>
            <a:prstDash val="solid"/>
            <a:round/>
          </a:ln>
          <a:effectLst/>
        </c:spPr>
        <c:txPr>
          <a:bodyPr rot="-60000000" spcFirstLastPara="0" vertOverflow="ellipsis" horzOverflow="overflow"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145665408"/>
        <c:crosses val="autoZero"/>
        <c:auto val="1"/>
        <c:lblAlgn val="ctr"/>
        <c:lblOffset val="100"/>
      </c:catAx>
      <c:valAx>
        <c:axId val="145665408"/>
        <c:scaling>
          <c:orientation val="minMax"/>
        </c:scaling>
        <c:axPos val="l"/>
        <c:majorGridlines>
          <c:spPr>
            <a:ln w="9525" cap="flat" cmpd="sng" algn="ctr">
              <a:solidFill>
                <a:srgbClr val="D9D9D9">
                  <a:lumMod val="15000"/>
                  <a:lumOff val="85000"/>
                </a:srgbClr>
              </a:solidFill>
              <a:prstDash val="solid"/>
              <a:round/>
            </a:ln>
            <a:effectLst/>
          </c:spPr>
        </c:majorGridlines>
        <c:numFmt formatCode="0.00%" sourceLinked="1"/>
        <c:majorTickMark val="none"/>
        <c:tickLblPos val="nextTo"/>
        <c:spPr>
          <a:noFill/>
          <a:ln w="9525" cap="flat" cmpd="sng" algn="ctr">
            <a:noFill/>
            <a:prstDash val="solid"/>
            <a:round/>
          </a:ln>
          <a:effectLst/>
        </c:spPr>
        <c:txPr>
          <a:bodyPr rot="-60000000" spcFirstLastPara="0" vertOverflow="ellipsis" horzOverflow="overflow"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145663872"/>
        <c:crosses val="autoZero"/>
        <c:crossBetween val="between"/>
      </c:valAx>
      <c:dTable>
        <c:showHorzBorder val="1"/>
        <c:showVertBorder val="1"/>
        <c:showOutline val="1"/>
        <c:showKeys val="1"/>
        <c:spPr>
          <a:noFill/>
          <a:ln w="9525" cap="flat" cmpd="sng" algn="ctr">
            <a:solidFill>
              <a:srgbClr val="D9D9D9">
                <a:lumMod val="15000"/>
                <a:lumOff val="85000"/>
              </a:srgbClr>
            </a:solidFill>
            <a:prstDash val="solid"/>
            <a:round/>
          </a:ln>
          <a:effectLst/>
        </c:spPr>
        <c:txPr>
          <a:bodyPr rot="0" spcFirstLastPara="0" vertOverflow="ellipsis" horzOverflow="overflow"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dTable>
      <c:spPr>
        <a:noFill/>
        <a:ln>
          <a:noFill/>
        </a:ln>
        <a:effectLst/>
      </c:spPr>
    </c:plotArea>
    <c:plotVisOnly val="1"/>
    <c:dispBlanksAs val="gap"/>
  </c:chart>
  <c:spPr>
    <a:solidFill>
      <a:srgbClr val="FFFFFF"/>
    </a:solidFill>
    <a:ln w="9525" cap="flat" cmpd="sng" algn="ctr">
      <a:solidFill>
        <a:srgbClr val="D9D9D9">
          <a:lumMod val="15000"/>
          <a:lumOff val="85000"/>
        </a:srgbClr>
      </a:solidFill>
      <a:prstDash val="solid"/>
      <a:round/>
    </a:ln>
    <a:effectLst/>
  </c:spPr>
  <c:txPr>
    <a:bodyPr rot="0" spcFirstLastPara="0" vertOverflow="ellipsis" horzOverflow="overflow" vert="horz" wrap="square" anchor="ctr" anchorCtr="1"/>
    <a:lstStyle/>
    <a:p>
      <a:pPr>
        <a:defRPr lang="zh-CN" sz="1000" kern="1200">
          <a:solidFill>
            <a:srgbClr val="000000"/>
          </a:solidFill>
          <a:latin typeface="+mn-lt"/>
          <a:ea typeface="+mn-ea"/>
          <a:cs typeface="+mn-cs"/>
        </a:defRPr>
      </a:pPr>
      <a:endParaRPr lang="zh-CN"/>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pieChart>
        <c:varyColors val="1"/>
        <c:ser>
          <c:idx val="0"/>
          <c:order val="0"/>
          <c:dPt>
            <c:idx val="0"/>
            <c:spPr>
              <a:solidFill>
                <a:srgbClr val="4F81BD"/>
              </a:solidFill>
              <a:ln w="19050">
                <a:solidFill>
                  <a:srgbClr val="FFFFFF"/>
                </a:solidFill>
              </a:ln>
              <a:effectLst/>
            </c:spPr>
          </c:dPt>
          <c:dPt>
            <c:idx val="1"/>
            <c:spPr>
              <a:solidFill>
                <a:srgbClr val="C0504D"/>
              </a:solidFill>
              <a:ln w="19050">
                <a:solidFill>
                  <a:srgbClr val="FFFFFF"/>
                </a:solidFill>
              </a:ln>
              <a:effectLst/>
            </c:spPr>
          </c:dPt>
          <c:dPt>
            <c:idx val="2"/>
            <c:spPr>
              <a:solidFill>
                <a:srgbClr val="9BBB59"/>
              </a:solidFill>
              <a:ln w="19050">
                <a:solidFill>
                  <a:srgbClr val="FFFFFF"/>
                </a:solidFill>
              </a:ln>
              <a:effectLst/>
            </c:spPr>
          </c:dPt>
          <c:dPt>
            <c:idx val="3"/>
            <c:spPr>
              <a:solidFill>
                <a:srgbClr val="8064A2"/>
              </a:solidFill>
              <a:ln w="19050">
                <a:solidFill>
                  <a:srgbClr val="FFFFFF"/>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endParaRPr lang="zh-CN"/>
              </a:p>
            </c:txPr>
            <c:dLblPos val="bestFit"/>
            <c:showVal val="1"/>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[不同性别毕业生的毕业流向.xls]Sheet2!$B$2:$E$2</c:f>
              <c:strCache>
                <c:ptCount val="4"/>
                <c:pt idx="0">
                  <c:v>单位就业率</c:v>
                </c:pt>
                <c:pt idx="1">
                  <c:v>升学出国率</c:v>
                </c:pt>
                <c:pt idx="2">
                  <c:v>灵活就业率</c:v>
                </c:pt>
                <c:pt idx="3">
                  <c:v>未就业率</c:v>
                </c:pt>
              </c:strCache>
            </c:strRef>
          </c:cat>
          <c:val>
            <c:numRef>
              <c:f>[不同性别毕业生的毕业流向.xls]Sheet2!$B$3:$E$3</c:f>
              <c:numCache>
                <c:formatCode>0.00%</c:formatCode>
                <c:ptCount val="4"/>
                <c:pt idx="0">
                  <c:v>0.88239999999999996</c:v>
                </c:pt>
                <c:pt idx="1">
                  <c:v>4.3600000000000007E-2</c:v>
                </c:pt>
                <c:pt idx="2">
                  <c:v>5.1900000000000002E-2</c:v>
                </c:pt>
                <c:pt idx="3">
                  <c:v>2.2100000000000005E-2</c:v>
                </c:pt>
              </c:numCache>
            </c:numRef>
          </c:val>
        </c:ser>
        <c:dLbls>
          <c:showVal val="1"/>
        </c:dLbls>
        <c:firstSliceAng val="0"/>
      </c:pieChart>
      <c:spPr>
        <a:noFill/>
        <a:ln>
          <a:noFill/>
        </a:ln>
        <a:effectLst/>
      </c:spPr>
    </c:plotArea>
    <c:legend>
      <c:legendPos val="b"/>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legend>
    <c:plotVisOnly val="1"/>
    <c:dispBlanksAs val="zero"/>
  </c:chart>
  <c:spPr>
    <a:solidFill>
      <a:srgbClr val="FFFFFF"/>
    </a:solidFill>
    <a:ln w="9525" cap="flat" cmpd="sng" algn="ctr">
      <a:solidFill>
        <a:srgbClr val="D9D9D9">
          <a:lumMod val="15000"/>
          <a:lumOff val="85000"/>
        </a:srgbClr>
      </a:solidFill>
      <a:round/>
    </a:ln>
    <a:effectLst/>
  </c:spPr>
  <c:txPr>
    <a:bodyPr/>
    <a:lstStyle/>
    <a:p>
      <a:pPr>
        <a:defRPr lang="zh-CN"/>
      </a:pPr>
      <a:endParaRPr lang="zh-CN"/>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[各学部单位就业率.xls]Sheet1!$B$4</c:f>
              <c:strCache>
                <c:ptCount val="1"/>
                <c:pt idx="0">
                  <c:v>单位就业率</c:v>
                </c:pt>
              </c:strCache>
            </c:strRef>
          </c:tx>
          <c:spPr>
            <a:solidFill>
              <a:srgbClr val="4F81BD"/>
            </a:solidFill>
            <a:ln>
              <a:noFill/>
            </a:ln>
            <a:effectLst/>
          </c:spPr>
          <c:cat>
            <c:strRef>
              <c:f>[各学部单位就业率.xls]Sheet1!$C$3:$H$3</c:f>
              <c:strCache>
                <c:ptCount val="6"/>
                <c:pt idx="0">
                  <c:v>人文学部</c:v>
                </c:pt>
                <c:pt idx="1">
                  <c:v>理学部</c:v>
                </c:pt>
                <c:pt idx="2">
                  <c:v>经管学部</c:v>
                </c:pt>
                <c:pt idx="3">
                  <c:v>信息科学部</c:v>
                </c:pt>
                <c:pt idx="4">
                  <c:v>工程学部</c:v>
                </c:pt>
                <c:pt idx="5">
                  <c:v>医学部</c:v>
                </c:pt>
              </c:strCache>
            </c:strRef>
          </c:cat>
          <c:val>
            <c:numRef>
              <c:f>[各学部单位就业率.xls]Sheet1!$C$4:$H$4</c:f>
              <c:numCache>
                <c:formatCode>0.00%</c:formatCode>
                <c:ptCount val="6"/>
                <c:pt idx="0">
                  <c:v>0.94440999999999997</c:v>
                </c:pt>
                <c:pt idx="1">
                  <c:v>0.99260000000000004</c:v>
                </c:pt>
                <c:pt idx="2">
                  <c:v>0.98339999999999983</c:v>
                </c:pt>
                <c:pt idx="3">
                  <c:v>0.99170000000000003</c:v>
                </c:pt>
                <c:pt idx="4">
                  <c:v>0.99129999999999996</c:v>
                </c:pt>
                <c:pt idx="5">
                  <c:v>0.82430000000000003</c:v>
                </c:pt>
              </c:numCache>
            </c:numRef>
          </c:val>
        </c:ser>
        <c:gapWidth val="219"/>
        <c:overlap val="-27"/>
        <c:axId val="145743872"/>
        <c:axId val="145745408"/>
      </c:barChart>
      <c:catAx>
        <c:axId val="145743872"/>
        <c:scaling>
          <c:orientation val="minMax"/>
        </c:scaling>
        <c:axPos val="b"/>
        <c:majorTickMark val="none"/>
        <c:tickLblPos val="nextTo"/>
        <c:spPr>
          <a:noFill/>
          <a:ln w="9525" cap="flat" cmpd="sng" algn="ctr">
            <a:solidFill>
              <a:srgbClr val="D9D9D9">
                <a:lumMod val="15000"/>
                <a:lumOff val="85000"/>
              </a:srgbClr>
            </a:solidFill>
            <a:prstDash val="solid"/>
            <a:round/>
          </a:ln>
          <a:effectLst/>
        </c:spPr>
        <c:txPr>
          <a:bodyPr rot="-60000000" spcFirstLastPara="0" vertOverflow="ellipsis" horzOverflow="overflow"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145745408"/>
        <c:crosses val="autoZero"/>
        <c:auto val="1"/>
        <c:lblAlgn val="ctr"/>
        <c:lblOffset val="100"/>
      </c:catAx>
      <c:valAx>
        <c:axId val="145745408"/>
        <c:scaling>
          <c:orientation val="minMax"/>
        </c:scaling>
        <c:axPos val="l"/>
        <c:majorGridlines>
          <c:spPr>
            <a:ln w="9525" cap="flat" cmpd="sng" algn="ctr">
              <a:solidFill>
                <a:srgbClr val="D9D9D9">
                  <a:lumMod val="15000"/>
                  <a:lumOff val="85000"/>
                </a:srgbClr>
              </a:solidFill>
              <a:prstDash val="solid"/>
              <a:round/>
            </a:ln>
            <a:effectLst/>
          </c:spPr>
        </c:majorGridlines>
        <c:numFmt formatCode="0.00%" sourceLinked="1"/>
        <c:majorTickMark val="none"/>
        <c:tickLblPos val="nextTo"/>
        <c:spPr>
          <a:noFill/>
          <a:ln w="6350" cap="flat" cmpd="sng" algn="ctr">
            <a:noFill/>
            <a:prstDash val="solid"/>
            <a:round/>
          </a:ln>
          <a:effectLst/>
        </c:spPr>
        <c:txPr>
          <a:bodyPr rot="-60000000" spcFirstLastPara="0" vertOverflow="ellipsis" horzOverflow="overflow"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145743872"/>
        <c:crosses val="autoZero"/>
        <c:crossBetween val="between"/>
      </c:valAx>
      <c:dTable>
        <c:showHorzBorder val="1"/>
        <c:showVertBorder val="1"/>
        <c:showOutline val="1"/>
        <c:showKeys val="1"/>
        <c:spPr>
          <a:noFill/>
          <a:ln w="9525" cap="flat" cmpd="sng" algn="ctr">
            <a:solidFill>
              <a:srgbClr val="D9D9D9">
                <a:lumMod val="15000"/>
                <a:lumOff val="85000"/>
              </a:srgbClr>
            </a:solidFill>
            <a:prstDash val="solid"/>
            <a:round/>
          </a:ln>
          <a:effectLst/>
        </c:spPr>
        <c:txPr>
          <a:bodyPr rot="0" spcFirstLastPara="0" vertOverflow="ellipsis" horzOverflow="overflow"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dTable>
      <c:spPr>
        <a:noFill/>
        <a:ln>
          <a:noFill/>
        </a:ln>
        <a:effectLst/>
      </c:spPr>
    </c:plotArea>
    <c:plotVisOnly val="1"/>
    <c:dispBlanksAs val="gap"/>
  </c:chart>
  <c:spPr>
    <a:solidFill>
      <a:srgbClr val="FFFFFF"/>
    </a:solidFill>
    <a:ln w="9525" cap="flat" cmpd="sng" algn="ctr">
      <a:solidFill>
        <a:srgbClr val="D9D9D9">
          <a:lumMod val="15000"/>
          <a:lumOff val="85000"/>
        </a:srgbClr>
      </a:solidFill>
      <a:prstDash val="solid"/>
      <a:round/>
    </a:ln>
    <a:effectLst/>
  </c:spPr>
  <c:txPr>
    <a:bodyPr rot="0" spcFirstLastPara="0" vertOverflow="ellipsis" horzOverflow="overflow" vert="horz" wrap="square" anchor="ctr" anchorCtr="1"/>
    <a:lstStyle/>
    <a:p>
      <a:pPr>
        <a:defRPr lang="zh-CN" sz="1000" kern="1200">
          <a:solidFill>
            <a:srgbClr val="000000"/>
          </a:solidFill>
          <a:latin typeface="+mn-lt"/>
          <a:ea typeface="+mn-ea"/>
          <a:cs typeface="+mn-cs"/>
        </a:defRPr>
      </a:pPr>
      <a:endParaRPr lang="zh-CN"/>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spPr>
            <a:solidFill>
              <a:srgbClr val="4F81BD"/>
            </a:solidFill>
            <a:ln>
              <a:noFill/>
            </a:ln>
            <a:effectLst/>
          </c:spPr>
          <c:cat>
            <c:strRef>
              <c:f>[各学部升学出国率.xls]Sheet1!$B$2:$B$8</c:f>
              <c:strCache>
                <c:ptCount val="7"/>
                <c:pt idx="0">
                  <c:v>人文学部</c:v>
                </c:pt>
                <c:pt idx="1">
                  <c:v>理学部</c:v>
                </c:pt>
                <c:pt idx="2">
                  <c:v>信息科学部</c:v>
                </c:pt>
                <c:pt idx="3">
                  <c:v>经济与管理学部</c:v>
                </c:pt>
                <c:pt idx="4">
                  <c:v>工程学部</c:v>
                </c:pt>
                <c:pt idx="5">
                  <c:v>医学部（四） </c:v>
                </c:pt>
                <c:pt idx="6">
                  <c:v>医学部（五）</c:v>
                </c:pt>
              </c:strCache>
            </c:strRef>
          </c:cat>
          <c:val>
            <c:numRef>
              <c:f>[各学部升学出国率.xls]Sheet1!$C$2:$C$8</c:f>
              <c:numCache>
                <c:formatCode>0.00%</c:formatCode>
                <c:ptCount val="7"/>
                <c:pt idx="0">
                  <c:v>5.0500000000000003E-2</c:v>
                </c:pt>
                <c:pt idx="1">
                  <c:v>8.0900000000000027E-2</c:v>
                </c:pt>
                <c:pt idx="2">
                  <c:v>4.1500000000000009E-2</c:v>
                </c:pt>
                <c:pt idx="3">
                  <c:v>4.9800000000000018E-2</c:v>
                </c:pt>
                <c:pt idx="4">
                  <c:v>2.0200000000000006E-2</c:v>
                </c:pt>
                <c:pt idx="5">
                  <c:v>2.8900000000000006E-2</c:v>
                </c:pt>
                <c:pt idx="6">
                  <c:v>5.400000000000002E-2</c:v>
                </c:pt>
              </c:numCache>
            </c:numRef>
          </c:val>
        </c:ser>
        <c:axId val="145766656"/>
        <c:axId val="145772544"/>
      </c:barChart>
      <c:catAx>
        <c:axId val="145766656"/>
        <c:scaling>
          <c:orientation val="minMax"/>
        </c:scaling>
        <c:axPos val="b"/>
        <c:majorTickMark val="none"/>
        <c:tickLblPos val="nextTo"/>
        <c:spPr>
          <a:noFill/>
          <a:ln w="9525" cap="flat" cmpd="sng" algn="ctr">
            <a:solidFill>
              <a:srgbClr val="D9D9D9">
                <a:lumMod val="15000"/>
                <a:lumOff val="85000"/>
              </a:srgbClr>
            </a:solidFill>
            <a:prstDash val="solid"/>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145772544"/>
        <c:crosses val="autoZero"/>
        <c:auto val="1"/>
        <c:lblAlgn val="ctr"/>
        <c:lblOffset val="100"/>
      </c:catAx>
      <c:valAx>
        <c:axId val="145772544"/>
        <c:scaling>
          <c:orientation val="minMax"/>
        </c:scaling>
        <c:axPos val="l"/>
        <c:majorGridlines>
          <c:spPr>
            <a:ln w="9525" cap="flat" cmpd="sng" algn="ctr">
              <a:solidFill>
                <a:srgbClr val="D9D9D9">
                  <a:lumMod val="15000"/>
                  <a:lumOff val="85000"/>
                </a:srgbClr>
              </a:solidFill>
              <a:prstDash val="solid"/>
              <a:round/>
            </a:ln>
            <a:effectLst/>
          </c:spPr>
        </c:majorGridlines>
        <c:numFmt formatCode="0.00%" sourceLinked="1"/>
        <c:maj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145766656"/>
        <c:crosses val="autoZero"/>
        <c:crossBetween val="between"/>
      </c:valAx>
      <c:dTable>
        <c:showHorzBorder val="1"/>
        <c:showVertBorder val="1"/>
        <c:showOutline val="1"/>
        <c:showKeys val="1"/>
        <c:spPr>
          <a:noFill/>
          <a:ln w="9525" cap="flat" cmpd="sng" algn="ctr">
            <a:solidFill>
              <a:srgbClr val="D9D9D9">
                <a:lumMod val="15000"/>
                <a:lumOff val="85000"/>
              </a:srgbClr>
            </a:solidFill>
            <a:prstDash val="solid"/>
            <a:round/>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dTable>
      <c:spPr>
        <a:noFill/>
        <a:ln>
          <a:noFill/>
        </a:ln>
        <a:effectLst/>
      </c:spPr>
    </c:plotArea>
    <c:plotVisOnly val="1"/>
    <c:dispBlanksAs val="gap"/>
  </c:chart>
  <c:spPr>
    <a:solidFill>
      <a:srgbClr val="FFFFFF"/>
    </a:solidFill>
    <a:ln w="9525" cap="flat" cmpd="sng" algn="ctr">
      <a:solidFill>
        <a:srgbClr val="D9D9D9">
          <a:lumMod val="15000"/>
          <a:lumOff val="85000"/>
        </a:srgbClr>
      </a:solidFill>
      <a:prstDash val="solid"/>
      <a:round/>
    </a:ln>
    <a:effectLst/>
  </c:spPr>
  <c:txPr>
    <a:bodyPr wrap="square"/>
    <a:lstStyle/>
    <a:p>
      <a:pPr>
        <a:defRPr lang="zh-CN"/>
      </a:pPr>
      <a:endParaRPr lang="zh-CN"/>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pieChart>
        <c:varyColors val="1"/>
        <c:ser>
          <c:idx val="0"/>
          <c:order val="0"/>
          <c:dPt>
            <c:idx val="0"/>
            <c:spPr>
              <a:solidFill>
                <a:srgbClr val="4F81BD"/>
              </a:solidFill>
              <a:ln w="19050">
                <a:solidFill>
                  <a:srgbClr val="FFFFFF"/>
                </a:solidFill>
              </a:ln>
              <a:effectLst/>
            </c:spPr>
          </c:dPt>
          <c:dPt>
            <c:idx val="1"/>
            <c:spPr>
              <a:solidFill>
                <a:srgbClr val="C0504D"/>
              </a:solidFill>
              <a:ln w="19050">
                <a:solidFill>
                  <a:srgbClr val="FFFFFF"/>
                </a:solidFill>
              </a:ln>
              <a:effectLst/>
            </c:spPr>
          </c:dPt>
          <c:dPt>
            <c:idx val="2"/>
            <c:spPr>
              <a:solidFill>
                <a:srgbClr val="9BBB59"/>
              </a:solidFill>
              <a:ln w="19050">
                <a:solidFill>
                  <a:srgbClr val="FFFFFF"/>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endParaRPr lang="zh-CN"/>
              </a:p>
            </c:txPr>
            <c:dLblPos val="bestFit"/>
            <c:showVal val="1"/>
            <c:showLeaderLines val="1"/>
            <c:extLst>
              <c:ext xmlns:c15="http://schemas.microsoft.com/office/drawing/2012/chart" uri="{CE6537A1-D6FC-4f65-9D91-7224C49458BB}">
                <c15:layout/>
                <c15:showLeaderLines val="1"/>
                <c15:leaderLines>
                  <c:spPr>
                    <a:ln w="9525" cap="flat" cmpd="sng" algn="ctr">
                      <a:solidFill>
                        <a:srgbClr val="969696">
                          <a:alpha val="100000"/>
                        </a:srgbClr>
                      </a:solidFill>
                      <a:prstDash val="solid"/>
                      <a:round/>
                    </a:ln>
                  </c:spPr>
                </c15:leaderLines>
              </c:ext>
            </c:extLst>
          </c:dLbls>
          <c:cat>
            <c:strRef>
              <c:f>[各学部升学出国率.xls]Sheet2!$C$12:$C$14</c:f>
              <c:strCache>
                <c:ptCount val="3"/>
                <c:pt idx="0">
                  <c:v>一致</c:v>
                </c:pt>
                <c:pt idx="1">
                  <c:v>相关/相近</c:v>
                </c:pt>
                <c:pt idx="2">
                  <c:v>相关度低</c:v>
                </c:pt>
              </c:strCache>
            </c:strRef>
          </c:cat>
          <c:val>
            <c:numRef>
              <c:f>[各学部升学出国率.xls]Sheet2!$D$12:$D$14</c:f>
              <c:numCache>
                <c:formatCode>0.00%</c:formatCode>
                <c:ptCount val="3"/>
                <c:pt idx="0">
                  <c:v>0.40570000000000001</c:v>
                </c:pt>
                <c:pt idx="1">
                  <c:v>0.48580000000000012</c:v>
                </c:pt>
                <c:pt idx="2">
                  <c:v>0.10850000000000003</c:v>
                </c:pt>
              </c:numCache>
            </c:numRef>
          </c:val>
        </c:ser>
        <c:firstSliceAng val="0"/>
      </c:pieChart>
      <c:spPr>
        <a:noFill/>
        <a:ln>
          <a:noFill/>
        </a:ln>
        <a:effectLst/>
      </c:spPr>
    </c:plotArea>
    <c:legend>
      <c:legendPos val="r"/>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legend>
    <c:plotVisOnly val="1"/>
    <c:dispBlanksAs val="zero"/>
  </c:chart>
  <c:spPr>
    <a:solidFill>
      <a:srgbClr val="FFFFFF"/>
    </a:solidFill>
    <a:ln w="9525" cap="flat" cmpd="sng" algn="ctr">
      <a:solidFill>
        <a:srgbClr val="D9D9D9">
          <a:lumMod val="15000"/>
          <a:lumOff val="85000"/>
        </a:srgbClr>
      </a:solidFill>
      <a:prstDash val="solid"/>
      <a:round/>
    </a:ln>
    <a:effectLst/>
  </c:spPr>
  <c:txPr>
    <a:bodyPr wrap="square"/>
    <a:lstStyle/>
    <a:p>
      <a:pPr>
        <a:defRPr lang="zh-CN"/>
      </a:pPr>
      <a:endParaRPr lang="zh-CN"/>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pieChart>
        <c:varyColors val="1"/>
        <c:ser>
          <c:idx val="0"/>
          <c:order val="0"/>
          <c:dPt>
            <c:idx val="0"/>
            <c:spPr>
              <a:solidFill>
                <a:srgbClr val="4F81BD"/>
              </a:solidFill>
              <a:ln w="19050">
                <a:solidFill>
                  <a:srgbClr val="FFFFFF"/>
                </a:solidFill>
              </a:ln>
              <a:effectLst/>
            </c:spPr>
          </c:dPt>
          <c:dPt>
            <c:idx val="1"/>
            <c:spPr>
              <a:solidFill>
                <a:srgbClr val="C0504D"/>
              </a:solidFill>
              <a:ln w="19050">
                <a:solidFill>
                  <a:srgbClr val="FFFFFF"/>
                </a:solidFill>
              </a:ln>
              <a:effectLst/>
            </c:spPr>
          </c:dPt>
          <c:dPt>
            <c:idx val="2"/>
            <c:spPr>
              <a:solidFill>
                <a:srgbClr val="9BBB59"/>
              </a:solidFill>
              <a:ln w="19050">
                <a:solidFill>
                  <a:srgbClr val="FFFFFF"/>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endParaRPr lang="zh-CN"/>
              </a:p>
            </c:txPr>
            <c:dLblPos val="bestFit"/>
            <c:showVal val="1"/>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[2017届毕业生升学的原因.xlsx]Sheet1!$A$2:$A$4</c:f>
              <c:strCache>
                <c:ptCount val="3"/>
                <c:pt idx="0">
                  <c:v>提高学历层次</c:v>
                </c:pt>
                <c:pt idx="1">
                  <c:v>专业深造</c:v>
                </c:pt>
                <c:pt idx="2">
                  <c:v>增加择业资本</c:v>
                </c:pt>
              </c:strCache>
            </c:strRef>
          </c:cat>
          <c:val>
            <c:numRef>
              <c:f>[2017届毕业生升学的原因.xlsx]Sheet1!$B$2:$B$4</c:f>
              <c:numCache>
                <c:formatCode>0.00%</c:formatCode>
                <c:ptCount val="3"/>
                <c:pt idx="0">
                  <c:v>0.45750000000000002</c:v>
                </c:pt>
                <c:pt idx="1">
                  <c:v>0.31130000000000013</c:v>
                </c:pt>
                <c:pt idx="2">
                  <c:v>0.14150000000000001</c:v>
                </c:pt>
              </c:numCache>
            </c:numRef>
          </c:val>
        </c:ser>
        <c:dLbls>
          <c:showVal val="1"/>
        </c:dLbls>
        <c:firstSliceAng val="0"/>
      </c:pieChart>
      <c:spPr>
        <a:noFill/>
        <a:ln>
          <a:noFill/>
        </a:ln>
        <a:effectLst/>
      </c:spPr>
    </c:plotArea>
    <c:legend>
      <c:legendPos val="b"/>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legend>
    <c:plotVisOnly val="1"/>
    <c:dispBlanksAs val="zero"/>
  </c:chart>
  <c:spPr>
    <a:solidFill>
      <a:srgbClr val="FFFFFF"/>
    </a:solidFill>
    <a:ln w="9525" cap="flat" cmpd="sng" algn="ctr">
      <a:solidFill>
        <a:srgbClr val="D9D9D9">
          <a:lumMod val="15000"/>
          <a:lumOff val="85000"/>
        </a:srgbClr>
      </a:solidFill>
      <a:round/>
    </a:ln>
    <a:effectLst/>
  </c:spPr>
  <c:txPr>
    <a:bodyPr/>
    <a:lstStyle/>
    <a:p>
      <a:pPr>
        <a:defRPr lang="zh-CN"/>
      </a:pPr>
      <a:endParaRPr lang="zh-CN"/>
    </a:p>
  </c:tx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2304</Words>
  <Characters>13133</Characters>
  <Application>Microsoft Office Word</Application>
  <DocSecurity>0</DocSecurity>
  <PresentationFormat/>
  <Lines>109</Lines>
  <Paragraphs>30</Paragraphs>
  <Slides>0</Slides>
  <Notes>0</Notes>
  <HiddenSlides>0</HiddenSlides>
  <MMClips>0</MMClips>
  <ScaleCrop>false</ScaleCrop>
  <Company>微软中国</Company>
  <LinksUpToDate>false</LinksUpToDate>
  <CharactersWithSpaces>15407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南通大学杏林学院2014届毕业生就业质量年度报告</dc:title>
  <dc:creator>系统管理员</dc:creator>
  <cp:lastModifiedBy>微软用户</cp:lastModifiedBy>
  <cp:revision>2</cp:revision>
  <cp:lastPrinted>2018-01-11T07:43:00Z</cp:lastPrinted>
  <dcterms:created xsi:type="dcterms:W3CDTF">2018-09-20T12:22:00Z</dcterms:created>
  <dcterms:modified xsi:type="dcterms:W3CDTF">2018-09-20T12:22:00Z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2052-10.1.0.7521</vt:lpwstr>
  </property>
</Properties>
</file>