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C53B5">
      <w:pPr>
        <w:spacing w:line="480" w:lineRule="auto"/>
        <w:jc w:val="center"/>
        <w:rPr>
          <w:rFonts w:ascii="楷体_GB2312" w:eastAsia="楷体_GB2312" w:hAnsi="楷体_GB2312" w:cs="楷体_GB2312"/>
          <w:b/>
          <w:sz w:val="36"/>
          <w:szCs w:val="36"/>
        </w:rPr>
      </w:pPr>
      <w:r>
        <w:rPr>
          <w:rFonts w:ascii="楷体_GB2312" w:eastAsia="楷体_GB2312" w:hAnsi="楷体_GB2312" w:cs="楷体_GB2312" w:hint="eastAsia"/>
          <w:b/>
          <w:sz w:val="36"/>
          <w:szCs w:val="36"/>
        </w:rPr>
        <w:t>第一部分</w:t>
      </w:r>
      <w:r>
        <w:rPr>
          <w:rFonts w:ascii="楷体_GB2312" w:eastAsia="楷体_GB2312" w:hAnsi="楷体_GB2312" w:cs="楷体_GB2312" w:hint="eastAsia"/>
          <w:b/>
          <w:sz w:val="36"/>
          <w:szCs w:val="36"/>
        </w:rPr>
        <w:t xml:space="preserve">  </w:t>
      </w:r>
      <w:r>
        <w:rPr>
          <w:rFonts w:ascii="楷体_GB2312" w:eastAsia="楷体_GB2312" w:hAnsi="楷体_GB2312" w:cs="楷体_GB2312" w:hint="eastAsia"/>
          <w:b/>
          <w:sz w:val="36"/>
          <w:szCs w:val="36"/>
        </w:rPr>
        <w:t>毕业生就业基本情况</w:t>
      </w:r>
    </w:p>
    <w:p w:rsidR="00000000" w:rsidRDefault="00BC53B5">
      <w:pPr>
        <w:pStyle w:val="a8"/>
        <w:numPr>
          <w:ilvl w:val="0"/>
          <w:numId w:val="1"/>
        </w:numPr>
        <w:spacing w:line="480" w:lineRule="auto"/>
        <w:ind w:firstLineChars="0"/>
        <w:rPr>
          <w:rFonts w:ascii="楷体_GB2312" w:eastAsia="楷体_GB2312" w:hAnsi="楷体_GB2312" w:cs="楷体_GB2312"/>
          <w:b/>
          <w:sz w:val="32"/>
          <w:szCs w:val="32"/>
        </w:rPr>
      </w:pPr>
      <w:r>
        <w:rPr>
          <w:rFonts w:ascii="楷体_GB2312" w:eastAsia="楷体_GB2312" w:hAnsi="楷体_GB2312" w:cs="楷体_GB2312" w:hint="eastAsia"/>
          <w:b/>
          <w:sz w:val="32"/>
          <w:szCs w:val="32"/>
        </w:rPr>
        <w:t>毕业生人数</w:t>
      </w:r>
    </w:p>
    <w:p w:rsidR="00000000" w:rsidRDefault="00BC53B5">
      <w:pPr>
        <w:spacing w:line="480" w:lineRule="auto"/>
        <w:ind w:leftChars="200" w:left="420"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届毕业生共</w:t>
      </w:r>
      <w:r>
        <w:rPr>
          <w:rFonts w:ascii="楷体_GB2312" w:eastAsia="楷体_GB2312" w:hAnsi="楷体_GB2312" w:cs="楷体_GB2312" w:hint="eastAsia"/>
          <w:sz w:val="28"/>
          <w:szCs w:val="28"/>
        </w:rPr>
        <w:t>1854</w:t>
      </w:r>
      <w:r>
        <w:rPr>
          <w:rFonts w:ascii="楷体_GB2312" w:eastAsia="楷体_GB2312" w:hAnsi="楷体_GB2312" w:cs="楷体_GB2312" w:hint="eastAsia"/>
          <w:sz w:val="28"/>
          <w:szCs w:val="28"/>
        </w:rPr>
        <w:t>人，其中四年制本科生</w:t>
      </w:r>
      <w:r>
        <w:rPr>
          <w:rFonts w:ascii="楷体_GB2312" w:eastAsia="楷体_GB2312" w:hAnsi="楷体_GB2312" w:cs="楷体_GB2312" w:hint="eastAsia"/>
          <w:sz w:val="28"/>
          <w:szCs w:val="28"/>
        </w:rPr>
        <w:t>1538</w:t>
      </w:r>
      <w:r>
        <w:rPr>
          <w:rFonts w:ascii="楷体_GB2312" w:eastAsia="楷体_GB2312" w:hAnsi="楷体_GB2312" w:cs="楷体_GB2312" w:hint="eastAsia"/>
          <w:sz w:val="28"/>
          <w:szCs w:val="28"/>
        </w:rPr>
        <w:t>人，五年制本科生</w:t>
      </w:r>
      <w:r>
        <w:rPr>
          <w:rFonts w:ascii="楷体_GB2312" w:eastAsia="楷体_GB2312" w:hAnsi="楷体_GB2312" w:cs="楷体_GB2312" w:hint="eastAsia"/>
          <w:sz w:val="28"/>
          <w:szCs w:val="28"/>
        </w:rPr>
        <w:t>316</w:t>
      </w:r>
      <w:r>
        <w:rPr>
          <w:rFonts w:ascii="楷体_GB2312" w:eastAsia="楷体_GB2312" w:hAnsi="楷体_GB2312" w:cs="楷体_GB2312" w:hint="eastAsia"/>
          <w:sz w:val="28"/>
          <w:szCs w:val="28"/>
        </w:rPr>
        <w:t>人。</w:t>
      </w:r>
    </w:p>
    <w:p w:rsidR="00000000" w:rsidRDefault="00BC53B5">
      <w:pPr>
        <w:pStyle w:val="a8"/>
        <w:spacing w:line="480" w:lineRule="auto"/>
        <w:ind w:left="420" w:firstLineChars="0" w:firstLine="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二、毕业生的结构组成</w:t>
      </w:r>
    </w:p>
    <w:p w:rsidR="00000000" w:rsidRDefault="00BC53B5">
      <w:pPr>
        <w:pStyle w:val="a8"/>
        <w:numPr>
          <w:ilvl w:val="0"/>
          <w:numId w:val="2"/>
        </w:numPr>
        <w:spacing w:line="480" w:lineRule="auto"/>
        <w:ind w:firstLineChars="0"/>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各学部毕业生分布情况</w:t>
      </w:r>
    </w:p>
    <w:p w:rsidR="00000000" w:rsidRDefault="00BC53B5">
      <w:pPr>
        <w:spacing w:line="480" w:lineRule="auto"/>
        <w:ind w:leftChars="200" w:left="420"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届各学部毕业生人数（见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1-2</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。其中，毕业生人数占比前三位的学部分别是：第一、</w:t>
      </w:r>
      <w:r>
        <w:rPr>
          <w:rFonts w:ascii="楷体_GB2312" w:eastAsia="楷体_GB2312" w:hAnsi="楷体_GB2312" w:cs="楷体_GB2312" w:hint="eastAsia"/>
          <w:sz w:val="28"/>
          <w:szCs w:val="28"/>
        </w:rPr>
        <w:t>工程学部</w:t>
      </w:r>
      <w:r>
        <w:rPr>
          <w:rFonts w:ascii="楷体_GB2312" w:eastAsia="楷体_GB2312" w:hAnsi="楷体_GB2312" w:cs="楷体_GB2312" w:hint="eastAsia"/>
          <w:sz w:val="28"/>
          <w:szCs w:val="28"/>
        </w:rPr>
        <w:t>408</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22.01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；第二、</w:t>
      </w:r>
      <w:r>
        <w:rPr>
          <w:rFonts w:ascii="楷体_GB2312" w:eastAsia="楷体_GB2312" w:hAnsi="楷体_GB2312" w:cs="楷体_GB2312" w:hint="eastAsia"/>
          <w:sz w:val="28"/>
          <w:szCs w:val="28"/>
        </w:rPr>
        <w:t>医学部（五年制）</w:t>
      </w:r>
      <w:r>
        <w:rPr>
          <w:rFonts w:ascii="楷体_GB2312" w:eastAsia="楷体_GB2312" w:hAnsi="楷体_GB2312" w:cs="楷体_GB2312" w:hint="eastAsia"/>
          <w:sz w:val="28"/>
          <w:szCs w:val="28"/>
        </w:rPr>
        <w:t>316</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17.04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；第三、</w:t>
      </w:r>
      <w:r>
        <w:rPr>
          <w:rFonts w:ascii="楷体_GB2312" w:eastAsia="楷体_GB2312" w:hAnsi="楷体_GB2312" w:cs="楷体_GB2312" w:hint="eastAsia"/>
          <w:sz w:val="28"/>
          <w:szCs w:val="28"/>
        </w:rPr>
        <w:t>人文学部</w:t>
      </w:r>
      <w:r>
        <w:rPr>
          <w:rFonts w:ascii="楷体_GB2312" w:eastAsia="楷体_GB2312" w:hAnsi="楷体_GB2312" w:cs="楷体_GB2312" w:hint="eastAsia"/>
          <w:sz w:val="28"/>
          <w:szCs w:val="28"/>
        </w:rPr>
        <w:t>279</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15.05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7546BB">
      <w:pPr>
        <w:spacing w:line="480" w:lineRule="auto"/>
        <w:ind w:leftChars="200" w:left="420" w:firstLineChars="200" w:firstLine="420"/>
        <w:jc w:val="left"/>
        <w:rPr>
          <w:rFonts w:ascii="楷体_GB2312" w:eastAsia="楷体_GB2312" w:hAnsi="楷体_GB2312" w:cs="楷体_GB2312"/>
          <w:sz w:val="28"/>
          <w:szCs w:val="28"/>
        </w:rPr>
      </w:pPr>
      <w:r>
        <w:rPr>
          <w:noProof/>
        </w:rPr>
        <w:drawing>
          <wp:inline distT="0" distB="0" distL="0" distR="0">
            <wp:extent cx="4819653" cy="2667068"/>
            <wp:effectExtent l="4444" t="4429" r="14603" b="14553"/>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BC53B5">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1-2  201</w:t>
      </w:r>
      <w:r>
        <w:rPr>
          <w:rFonts w:ascii="楷体_GB2312" w:eastAsia="楷体_GB2312" w:hAnsi="楷体_GB2312" w:cs="楷体_GB2312" w:hint="eastAsia"/>
          <w:b/>
          <w:sz w:val="28"/>
          <w:szCs w:val="28"/>
        </w:rPr>
        <w:t>6</w:t>
      </w:r>
      <w:r>
        <w:rPr>
          <w:rFonts w:ascii="楷体_GB2312" w:eastAsia="楷体_GB2312" w:hAnsi="楷体_GB2312" w:cs="楷体_GB2312" w:hint="eastAsia"/>
          <w:b/>
          <w:sz w:val="28"/>
          <w:szCs w:val="28"/>
        </w:rPr>
        <w:t>届各学部毕业生分布情况</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二</w:t>
      </w: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毕业生的性别结构</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w:t>
      </w:r>
      <w:r>
        <w:rPr>
          <w:rFonts w:ascii="楷体_GB2312" w:eastAsia="楷体_GB2312" w:hAnsi="楷体_GB2312" w:cs="楷体_GB2312" w:hint="eastAsia"/>
          <w:sz w:val="28"/>
          <w:szCs w:val="28"/>
        </w:rPr>
        <w:t>毕业生中，男生</w:t>
      </w:r>
      <w:r>
        <w:rPr>
          <w:rFonts w:ascii="楷体_GB2312" w:eastAsia="楷体_GB2312" w:hAnsi="楷体_GB2312" w:cs="楷体_GB2312" w:hint="eastAsia"/>
          <w:sz w:val="28"/>
          <w:szCs w:val="28"/>
        </w:rPr>
        <w:t>731</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39.</w:t>
      </w:r>
      <w:r>
        <w:rPr>
          <w:rFonts w:ascii="楷体_GB2312" w:eastAsia="楷体_GB2312" w:hAnsi="楷体_GB2312" w:cs="楷体_GB2312" w:hint="eastAsia"/>
          <w:sz w:val="28"/>
          <w:szCs w:val="28"/>
        </w:rPr>
        <w:t>43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；女生</w:t>
      </w:r>
      <w:r>
        <w:rPr>
          <w:rFonts w:ascii="楷体_GB2312" w:eastAsia="楷体_GB2312" w:hAnsi="楷体_GB2312" w:cs="楷体_GB2312" w:hint="eastAsia"/>
          <w:sz w:val="28"/>
          <w:szCs w:val="28"/>
        </w:rPr>
        <w:t>1123</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60.57</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。男女生性别比为</w:t>
      </w:r>
      <w:r>
        <w:rPr>
          <w:rFonts w:ascii="楷体_GB2312" w:eastAsia="楷体_GB2312" w:hAnsi="楷体_GB2312" w:cs="楷体_GB2312" w:hint="eastAsia"/>
          <w:sz w:val="28"/>
          <w:szCs w:val="28"/>
        </w:rPr>
        <w:t>1:1.</w:t>
      </w:r>
      <w:r>
        <w:rPr>
          <w:rFonts w:ascii="楷体_GB2312" w:eastAsia="楷体_GB2312" w:hAnsi="楷体_GB2312" w:cs="楷体_GB2312" w:hint="eastAsia"/>
          <w:sz w:val="28"/>
          <w:szCs w:val="28"/>
        </w:rPr>
        <w:t>57</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1-3</w:t>
      </w:r>
      <w:r>
        <w:rPr>
          <w:rFonts w:ascii="楷体_GB2312" w:eastAsia="楷体_GB2312" w:hAnsi="楷体_GB2312" w:cs="楷体_GB2312" w:hint="eastAsia"/>
          <w:sz w:val="28"/>
          <w:szCs w:val="28"/>
        </w:rPr>
        <w:t>）。</w:t>
      </w:r>
    </w:p>
    <w:p w:rsidR="00000000" w:rsidRDefault="007546BB">
      <w:pPr>
        <w:spacing w:line="480" w:lineRule="auto"/>
        <w:jc w:val="center"/>
        <w:rPr>
          <w:rFonts w:ascii="楷体_GB2312" w:eastAsia="楷体_GB2312" w:hAnsi="楷体_GB2312" w:cs="楷体_GB2312"/>
          <w:sz w:val="28"/>
          <w:szCs w:val="28"/>
        </w:rPr>
      </w:pPr>
      <w:r>
        <w:rPr>
          <w:noProof/>
        </w:rPr>
        <w:lastRenderedPageBreak/>
        <w:drawing>
          <wp:inline distT="0" distB="0" distL="0" distR="0">
            <wp:extent cx="4267242" cy="2438400"/>
            <wp:effectExtent l="4435" t="4445" r="14573" b="14605"/>
            <wp:docPr id="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BC53B5">
      <w:pPr>
        <w:spacing w:line="480" w:lineRule="auto"/>
        <w:jc w:val="center"/>
        <w:rPr>
          <w:rFonts w:ascii="楷体_GB2312" w:eastAsia="楷体_GB2312" w:hAnsi="楷体_GB2312" w:cs="楷体_GB2312" w:hint="eastAsia"/>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1-3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届毕业生男女生性别比例</w:t>
      </w:r>
    </w:p>
    <w:p w:rsidR="00000000" w:rsidRDefault="00BC53B5">
      <w:pPr>
        <w:spacing w:line="480" w:lineRule="auto"/>
        <w:jc w:val="left"/>
        <w:rPr>
          <w:rFonts w:ascii="楷体_GB2312" w:eastAsia="楷体_GB2312" w:hAnsi="楷体_GB2312" w:cs="楷体_GB2312" w:hint="eastAsia"/>
          <w:sz w:val="28"/>
          <w:szCs w:val="28"/>
        </w:rPr>
      </w:pP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（三）毕业生的生源地分布</w:t>
      </w:r>
    </w:p>
    <w:p w:rsidR="00000000" w:rsidRDefault="00BC53B5">
      <w:pPr>
        <w:spacing w:line="480" w:lineRule="auto"/>
        <w:ind w:firstLineChars="200" w:firstLine="560"/>
        <w:jc w:val="left"/>
        <w:rPr>
          <w:rFonts w:ascii="楷体_GB2312" w:eastAsia="楷体_GB2312" w:hAnsi="楷体_GB2312" w:cs="楷体_GB2312" w:hint="eastAsia"/>
          <w:b/>
          <w:bCs/>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届毕业生来源于</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个省、市，主要分布在江苏省，人数达到</w:t>
      </w:r>
      <w:r>
        <w:rPr>
          <w:rFonts w:ascii="楷体_GB2312" w:eastAsia="楷体_GB2312" w:hAnsi="楷体_GB2312" w:cs="楷体_GB2312" w:hint="eastAsia"/>
          <w:sz w:val="28"/>
          <w:szCs w:val="28"/>
        </w:rPr>
        <w:t>1623</w:t>
      </w:r>
      <w:r>
        <w:rPr>
          <w:rFonts w:ascii="楷体_GB2312" w:eastAsia="楷体_GB2312" w:hAnsi="楷体_GB2312" w:cs="楷体_GB2312" w:hint="eastAsia"/>
          <w:sz w:val="28"/>
          <w:szCs w:val="28"/>
        </w:rPr>
        <w:t>人，占比</w:t>
      </w:r>
      <w:r>
        <w:rPr>
          <w:rFonts w:ascii="楷体_GB2312" w:eastAsia="楷体_GB2312" w:hAnsi="楷体_GB2312" w:cs="楷体_GB2312" w:hint="eastAsia"/>
          <w:sz w:val="28"/>
          <w:szCs w:val="28"/>
        </w:rPr>
        <w:t>87.54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，其他省份人数为</w:t>
      </w:r>
      <w:r>
        <w:rPr>
          <w:rFonts w:ascii="楷体_GB2312" w:eastAsia="楷体_GB2312" w:hAnsi="楷体_GB2312" w:cs="楷体_GB2312" w:hint="eastAsia"/>
          <w:sz w:val="28"/>
          <w:szCs w:val="28"/>
        </w:rPr>
        <w:t>231</w:t>
      </w:r>
      <w:r>
        <w:rPr>
          <w:rFonts w:ascii="楷体_GB2312" w:eastAsia="楷体_GB2312" w:hAnsi="楷体_GB2312" w:cs="楷体_GB2312" w:hint="eastAsia"/>
          <w:sz w:val="28"/>
          <w:szCs w:val="28"/>
        </w:rPr>
        <w:t>人，占比</w:t>
      </w:r>
      <w:r>
        <w:rPr>
          <w:rFonts w:ascii="楷体_GB2312" w:eastAsia="楷体_GB2312" w:hAnsi="楷体_GB2312" w:cs="楷体_GB2312" w:hint="eastAsia"/>
          <w:sz w:val="28"/>
          <w:szCs w:val="28"/>
        </w:rPr>
        <w:t>12.45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1-2</w:t>
      </w:r>
      <w:r>
        <w:rPr>
          <w:rFonts w:ascii="楷体_GB2312" w:eastAsia="楷体_GB2312" w:hAnsi="楷体_GB2312" w:cs="楷体_GB2312" w:hint="eastAsia"/>
          <w:sz w:val="28"/>
          <w:szCs w:val="28"/>
        </w:rPr>
        <w:t>）。</w:t>
      </w:r>
    </w:p>
    <w:p w:rsidR="00000000" w:rsidRDefault="00BC53B5" w:rsidP="007546BB">
      <w:pPr>
        <w:spacing w:line="480" w:lineRule="auto"/>
        <w:ind w:firstLineChars="200" w:firstLine="562"/>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1-2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届毕业生生源地分布情况统计表</w:t>
      </w:r>
    </w:p>
    <w:tbl>
      <w:tblPr>
        <w:tblW w:w="0" w:type="auto"/>
        <w:tblInd w:w="1557" w:type="dxa"/>
        <w:tblLayout w:type="fixed"/>
        <w:tblCellMar>
          <w:top w:w="15" w:type="dxa"/>
          <w:left w:w="15" w:type="dxa"/>
          <w:bottom w:w="15" w:type="dxa"/>
          <w:right w:w="15" w:type="dxa"/>
        </w:tblCellMar>
        <w:tblLook w:val="0000"/>
      </w:tblPr>
      <w:tblGrid>
        <w:gridCol w:w="2700"/>
        <w:gridCol w:w="2745"/>
      </w:tblGrid>
      <w:tr w:rsidR="00000000">
        <w:trPr>
          <w:trHeight w:val="1118"/>
        </w:trPr>
        <w:tc>
          <w:tcPr>
            <w:tcW w:w="2700" w:type="dxa"/>
            <w:tcBorders>
              <w:top w:val="single" w:sz="12" w:space="0" w:color="FFFFFF"/>
              <w:left w:val="single" w:sz="12" w:space="0" w:color="FFFFFF"/>
              <w:bottom w:val="single" w:sz="12" w:space="0" w:color="FFFFFF"/>
              <w:right w:val="single" w:sz="12" w:space="0" w:color="FFFFFF"/>
            </w:tcBorders>
            <w:shd w:val="clear" w:color="auto" w:fill="8DB3E2"/>
            <w:vAlign w:val="center"/>
          </w:tcPr>
          <w:p w:rsidR="00000000" w:rsidRDefault="00BC53B5">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生源地</w:t>
            </w:r>
          </w:p>
        </w:tc>
        <w:tc>
          <w:tcPr>
            <w:tcW w:w="2745" w:type="dxa"/>
            <w:tcBorders>
              <w:top w:val="single" w:sz="12" w:space="0" w:color="FFFFFF"/>
              <w:bottom w:val="single" w:sz="12" w:space="0" w:color="FFFFFF"/>
              <w:right w:val="single" w:sz="12" w:space="0" w:color="FFFFFF"/>
            </w:tcBorders>
            <w:shd w:val="clear" w:color="auto" w:fill="8DB3E2"/>
            <w:vAlign w:val="center"/>
          </w:tcPr>
          <w:p w:rsidR="00000000" w:rsidRDefault="00BC53B5">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毕业生人数（人）及所占比例（</w:t>
            </w:r>
            <w:r>
              <w:rPr>
                <w:rFonts w:ascii="Calibri" w:hAnsi="Calibri" w:cs="Calibri"/>
                <w:b/>
                <w:color w:val="000000"/>
                <w:kern w:val="0"/>
                <w:sz w:val="24"/>
                <w:szCs w:val="24"/>
                <w:lang/>
              </w:rPr>
              <w:t>%</w:t>
            </w:r>
            <w:r>
              <w:rPr>
                <w:rFonts w:ascii="Calibri" w:hAnsi="Calibri" w:cs="Calibri"/>
                <w:b/>
                <w:color w:val="000000"/>
                <w:kern w:val="0"/>
                <w:sz w:val="24"/>
                <w:szCs w:val="24"/>
                <w:lang/>
              </w:rPr>
              <w:t>）</w:t>
            </w:r>
          </w:p>
        </w:tc>
      </w:tr>
      <w:tr w:rsidR="00000000">
        <w:trPr>
          <w:trHeight w:val="623"/>
        </w:trPr>
        <w:tc>
          <w:tcPr>
            <w:tcW w:w="2700" w:type="dxa"/>
            <w:tcBorders>
              <w:left w:val="single" w:sz="12" w:space="0" w:color="FFFFFF"/>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江苏</w:t>
            </w:r>
          </w:p>
        </w:tc>
        <w:tc>
          <w:tcPr>
            <w:tcW w:w="2745" w:type="dxa"/>
            <w:tcBorders>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1623 (87.54%)</w:t>
            </w:r>
          </w:p>
        </w:tc>
      </w:tr>
      <w:tr w:rsidR="00000000">
        <w:trPr>
          <w:trHeight w:val="396"/>
        </w:trPr>
        <w:tc>
          <w:tcPr>
            <w:tcW w:w="2700" w:type="dxa"/>
            <w:tcBorders>
              <w:left w:val="single" w:sz="12" w:space="0" w:color="FFFFFF"/>
              <w:bottom w:val="single" w:sz="12" w:space="0" w:color="FFFFFF"/>
              <w:right w:val="single" w:sz="12" w:space="0" w:color="FFFFFF"/>
            </w:tcBorders>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浙江</w:t>
            </w:r>
          </w:p>
        </w:tc>
        <w:tc>
          <w:tcPr>
            <w:tcW w:w="2745" w:type="dxa"/>
            <w:tcBorders>
              <w:bottom w:val="single" w:sz="12" w:space="0" w:color="FFFFFF"/>
              <w:right w:val="single" w:sz="12" w:space="0" w:color="FFFFFF"/>
            </w:tcBorders>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 xml:space="preserve">75 </w:t>
            </w:r>
            <w:r>
              <w:rPr>
                <w:rFonts w:ascii="Calibri" w:hAnsi="Calibri" w:cs="Calibri"/>
                <w:color w:val="000000"/>
                <w:kern w:val="0"/>
                <w:sz w:val="24"/>
                <w:szCs w:val="24"/>
                <w:lang/>
              </w:rPr>
              <w:t>(4.05%)</w:t>
            </w:r>
          </w:p>
        </w:tc>
      </w:tr>
      <w:tr w:rsidR="00000000">
        <w:trPr>
          <w:trHeight w:val="396"/>
        </w:trPr>
        <w:tc>
          <w:tcPr>
            <w:tcW w:w="2700" w:type="dxa"/>
            <w:tcBorders>
              <w:left w:val="single" w:sz="12" w:space="0" w:color="FFFFFF"/>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安徽</w:t>
            </w:r>
          </w:p>
        </w:tc>
        <w:tc>
          <w:tcPr>
            <w:tcW w:w="2745" w:type="dxa"/>
            <w:tcBorders>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57 (3.07%)</w:t>
            </w:r>
          </w:p>
        </w:tc>
      </w:tr>
      <w:tr w:rsidR="00000000">
        <w:trPr>
          <w:trHeight w:val="396"/>
        </w:trPr>
        <w:tc>
          <w:tcPr>
            <w:tcW w:w="2700" w:type="dxa"/>
            <w:tcBorders>
              <w:left w:val="single" w:sz="12" w:space="0" w:color="FFFFFF"/>
              <w:bottom w:val="single" w:sz="12" w:space="0" w:color="FFFFFF"/>
              <w:right w:val="single" w:sz="12" w:space="0" w:color="FFFFFF"/>
            </w:tcBorders>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上海</w:t>
            </w:r>
          </w:p>
        </w:tc>
        <w:tc>
          <w:tcPr>
            <w:tcW w:w="2745" w:type="dxa"/>
            <w:tcBorders>
              <w:bottom w:val="single" w:sz="12" w:space="0" w:color="FFFFFF"/>
              <w:right w:val="single" w:sz="12" w:space="0" w:color="FFFFFF"/>
            </w:tcBorders>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38 (2.05%)</w:t>
            </w:r>
          </w:p>
        </w:tc>
      </w:tr>
      <w:tr w:rsidR="00000000">
        <w:trPr>
          <w:trHeight w:val="396"/>
        </w:trPr>
        <w:tc>
          <w:tcPr>
            <w:tcW w:w="2700" w:type="dxa"/>
            <w:tcBorders>
              <w:left w:val="single" w:sz="12" w:space="0" w:color="FFFFFF"/>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福建</w:t>
            </w:r>
          </w:p>
        </w:tc>
        <w:tc>
          <w:tcPr>
            <w:tcW w:w="2745" w:type="dxa"/>
            <w:tcBorders>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36 (1.94%)</w:t>
            </w:r>
          </w:p>
        </w:tc>
      </w:tr>
      <w:tr w:rsidR="00000000">
        <w:trPr>
          <w:trHeight w:val="396"/>
        </w:trPr>
        <w:tc>
          <w:tcPr>
            <w:tcW w:w="2700" w:type="dxa"/>
            <w:tcBorders>
              <w:left w:val="single" w:sz="12" w:space="0" w:color="FFFFFF"/>
              <w:bottom w:val="single" w:sz="12" w:space="0" w:color="FFFFFF"/>
              <w:right w:val="single" w:sz="12" w:space="0" w:color="FFFFFF"/>
            </w:tcBorders>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山东</w:t>
            </w:r>
          </w:p>
        </w:tc>
        <w:tc>
          <w:tcPr>
            <w:tcW w:w="2745" w:type="dxa"/>
            <w:tcBorders>
              <w:bottom w:val="single" w:sz="12" w:space="0" w:color="FFFFFF"/>
              <w:right w:val="single" w:sz="12" w:space="0" w:color="FFFFFF"/>
            </w:tcBorders>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14 (0.76%)</w:t>
            </w:r>
          </w:p>
        </w:tc>
      </w:tr>
      <w:tr w:rsidR="00000000">
        <w:trPr>
          <w:trHeight w:val="428"/>
        </w:trPr>
        <w:tc>
          <w:tcPr>
            <w:tcW w:w="2700" w:type="dxa"/>
            <w:tcBorders>
              <w:left w:val="single" w:sz="12" w:space="0" w:color="FFFFFF"/>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广东</w:t>
            </w:r>
          </w:p>
        </w:tc>
        <w:tc>
          <w:tcPr>
            <w:tcW w:w="2745" w:type="dxa"/>
            <w:tcBorders>
              <w:bottom w:val="single" w:sz="12" w:space="0" w:color="FFFFFF"/>
              <w:right w:val="single" w:sz="12" w:space="0" w:color="FFFFFF"/>
            </w:tcBorders>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11 (0.59%)</w:t>
            </w:r>
          </w:p>
        </w:tc>
      </w:tr>
    </w:tbl>
    <w:p w:rsidR="00000000" w:rsidRDefault="00BC53B5">
      <w:pPr>
        <w:spacing w:line="480" w:lineRule="auto"/>
        <w:jc w:val="center"/>
        <w:rPr>
          <w:rFonts w:ascii="楷体_GB2312" w:eastAsia="楷体_GB2312" w:hAnsi="楷体_GB2312" w:cs="楷体_GB2312" w:hint="eastAsia"/>
          <w:sz w:val="28"/>
          <w:szCs w:val="28"/>
        </w:rPr>
      </w:pPr>
    </w:p>
    <w:p w:rsidR="00000000" w:rsidRDefault="00BC53B5">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 xml:space="preserve">    </w:t>
      </w:r>
      <w:r>
        <w:rPr>
          <w:rFonts w:ascii="楷体_GB2312" w:eastAsia="楷体_GB2312" w:hAnsi="楷体_GB2312" w:cs="楷体_GB2312" w:hint="eastAsia"/>
          <w:sz w:val="28"/>
          <w:szCs w:val="28"/>
        </w:rPr>
        <w:t>我院江苏生源主要分布在南通、苏州、盐城、宿迁、扬州、泰州、无锡等地（见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1-3</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BC53B5">
      <w:pPr>
        <w:spacing w:line="480" w:lineRule="auto"/>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1-3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届毕业生江苏生源分布情况统计表</w:t>
      </w:r>
    </w:p>
    <w:tbl>
      <w:tblPr>
        <w:tblW w:w="0" w:type="auto"/>
        <w:jc w:val="center"/>
        <w:tblInd w:w="0" w:type="dxa"/>
        <w:tblLayout w:type="fixed"/>
        <w:tblCellMar>
          <w:top w:w="15" w:type="dxa"/>
          <w:left w:w="15" w:type="dxa"/>
          <w:bottom w:w="15" w:type="dxa"/>
          <w:right w:w="15" w:type="dxa"/>
        </w:tblCellMar>
        <w:tblLook w:val="0000"/>
      </w:tblPr>
      <w:tblGrid>
        <w:gridCol w:w="1080"/>
        <w:gridCol w:w="1080"/>
        <w:gridCol w:w="1310"/>
        <w:gridCol w:w="1590"/>
      </w:tblGrid>
      <w:tr w:rsidR="00000000">
        <w:trPr>
          <w:trHeight w:val="1770"/>
          <w:jc w:val="center"/>
        </w:trPr>
        <w:tc>
          <w:tcPr>
            <w:tcW w:w="1080" w:type="dxa"/>
            <w:shd w:val="clear" w:color="5B9BD5" w:fill="8DB3E2"/>
            <w:vAlign w:val="center"/>
          </w:tcPr>
          <w:p w:rsidR="00000000" w:rsidRDefault="00BC53B5">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序号</w:t>
            </w:r>
          </w:p>
        </w:tc>
        <w:tc>
          <w:tcPr>
            <w:tcW w:w="1080" w:type="dxa"/>
            <w:shd w:val="clear" w:color="5B9BD5" w:fill="8DB3E2"/>
            <w:vAlign w:val="center"/>
          </w:tcPr>
          <w:p w:rsidR="00000000" w:rsidRDefault="00BC53B5">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辖市</w:t>
            </w:r>
          </w:p>
        </w:tc>
        <w:tc>
          <w:tcPr>
            <w:tcW w:w="1310" w:type="dxa"/>
            <w:shd w:val="clear" w:color="5B9BD5" w:fill="8DB3E2"/>
            <w:vAlign w:val="center"/>
          </w:tcPr>
          <w:p w:rsidR="00000000" w:rsidRDefault="00BC53B5">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本科生人数</w:t>
            </w:r>
          </w:p>
        </w:tc>
        <w:tc>
          <w:tcPr>
            <w:tcW w:w="1590" w:type="dxa"/>
            <w:shd w:val="clear" w:color="5B9BD5" w:fill="8DB3E2"/>
            <w:vAlign w:val="center"/>
          </w:tcPr>
          <w:p w:rsidR="00000000" w:rsidRDefault="00BC53B5">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比例（</w:t>
            </w:r>
            <w:r>
              <w:rPr>
                <w:rFonts w:ascii="Calibri" w:hAnsi="Calibri" w:cs="Calibri"/>
                <w:b/>
                <w:color w:val="000000"/>
                <w:kern w:val="0"/>
                <w:sz w:val="24"/>
                <w:szCs w:val="24"/>
                <w:lang/>
              </w:rPr>
              <w:t>%</w:t>
            </w:r>
            <w:r>
              <w:rPr>
                <w:rFonts w:ascii="Calibri" w:hAnsi="Calibri" w:cs="Calibri"/>
                <w:b/>
                <w:color w:val="000000"/>
                <w:kern w:val="0"/>
                <w:sz w:val="24"/>
                <w:szCs w:val="24"/>
                <w:lang/>
              </w:rPr>
              <w:t>）</w:t>
            </w:r>
          </w:p>
        </w:tc>
      </w:tr>
      <w:tr w:rsidR="00000000">
        <w:trPr>
          <w:trHeight w:val="465"/>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常州市</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59</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3.63%</w:t>
            </w:r>
          </w:p>
        </w:tc>
      </w:tr>
      <w:tr w:rsidR="00000000">
        <w:trPr>
          <w:trHeight w:val="405"/>
          <w:jc w:val="center"/>
        </w:trPr>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2</w:t>
            </w:r>
          </w:p>
        </w:tc>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淮安市</w:t>
            </w:r>
          </w:p>
        </w:tc>
        <w:tc>
          <w:tcPr>
            <w:tcW w:w="131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50</w:t>
            </w:r>
          </w:p>
        </w:tc>
        <w:tc>
          <w:tcPr>
            <w:tcW w:w="159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3.08%</w:t>
            </w:r>
          </w:p>
        </w:tc>
      </w:tr>
      <w:tr w:rsidR="00000000">
        <w:trPr>
          <w:trHeight w:val="465"/>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连云港</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43</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2.46%</w:t>
            </w:r>
          </w:p>
        </w:tc>
      </w:tr>
      <w:tr w:rsidR="00000000">
        <w:trPr>
          <w:trHeight w:val="450"/>
          <w:jc w:val="center"/>
        </w:trPr>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4</w:t>
            </w:r>
          </w:p>
        </w:tc>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南京市</w:t>
            </w:r>
          </w:p>
        </w:tc>
        <w:tc>
          <w:tcPr>
            <w:tcW w:w="131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39</w:t>
            </w:r>
          </w:p>
        </w:tc>
        <w:tc>
          <w:tcPr>
            <w:tcW w:w="159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2.40%</w:t>
            </w:r>
          </w:p>
        </w:tc>
      </w:tr>
      <w:tr w:rsidR="00000000">
        <w:trPr>
          <w:trHeight w:val="555"/>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南通市</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567</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34.56%</w:t>
            </w:r>
          </w:p>
        </w:tc>
      </w:tr>
      <w:tr w:rsidR="00000000">
        <w:trPr>
          <w:trHeight w:val="555"/>
          <w:jc w:val="center"/>
        </w:trPr>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6</w:t>
            </w:r>
          </w:p>
        </w:tc>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苏州市</w:t>
            </w:r>
          </w:p>
        </w:tc>
        <w:tc>
          <w:tcPr>
            <w:tcW w:w="131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271</w:t>
            </w:r>
          </w:p>
        </w:tc>
        <w:tc>
          <w:tcPr>
            <w:tcW w:w="159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16.69%</w:t>
            </w:r>
          </w:p>
        </w:tc>
      </w:tr>
      <w:tr w:rsidR="00000000">
        <w:trPr>
          <w:trHeight w:val="585"/>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7</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宿迁市</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87</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5.36%</w:t>
            </w:r>
          </w:p>
        </w:tc>
      </w:tr>
      <w:tr w:rsidR="00000000">
        <w:trPr>
          <w:trHeight w:val="585"/>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8</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泰州市</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109</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6.72%</w:t>
            </w:r>
          </w:p>
        </w:tc>
      </w:tr>
      <w:tr w:rsidR="00000000">
        <w:trPr>
          <w:trHeight w:val="570"/>
          <w:jc w:val="center"/>
        </w:trPr>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9</w:t>
            </w:r>
          </w:p>
        </w:tc>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无锡市</w:t>
            </w:r>
          </w:p>
        </w:tc>
        <w:tc>
          <w:tcPr>
            <w:tcW w:w="131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91</w:t>
            </w:r>
          </w:p>
        </w:tc>
        <w:tc>
          <w:tcPr>
            <w:tcW w:w="159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5.61%</w:t>
            </w:r>
          </w:p>
        </w:tc>
      </w:tr>
      <w:tr w:rsidR="00000000">
        <w:trPr>
          <w:trHeight w:val="570"/>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10</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徐州市</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52</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3.20%</w:t>
            </w:r>
          </w:p>
        </w:tc>
      </w:tr>
      <w:tr w:rsidR="00000000">
        <w:trPr>
          <w:trHeight w:val="525"/>
          <w:jc w:val="center"/>
        </w:trPr>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11</w:t>
            </w:r>
          </w:p>
        </w:tc>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盐城市</w:t>
            </w:r>
          </w:p>
        </w:tc>
        <w:tc>
          <w:tcPr>
            <w:tcW w:w="131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123</w:t>
            </w:r>
          </w:p>
        </w:tc>
        <w:tc>
          <w:tcPr>
            <w:tcW w:w="159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7.58%</w:t>
            </w:r>
          </w:p>
        </w:tc>
      </w:tr>
      <w:tr w:rsidR="00000000">
        <w:trPr>
          <w:trHeight w:val="570"/>
          <w:jc w:val="center"/>
        </w:trPr>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12</w:t>
            </w:r>
          </w:p>
        </w:tc>
        <w:tc>
          <w:tcPr>
            <w:tcW w:w="108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扬州市</w:t>
            </w:r>
          </w:p>
        </w:tc>
        <w:tc>
          <w:tcPr>
            <w:tcW w:w="131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84</w:t>
            </w:r>
          </w:p>
        </w:tc>
        <w:tc>
          <w:tcPr>
            <w:tcW w:w="1590" w:type="dxa"/>
            <w:shd w:val="clear" w:color="auto" w:fill="F6F8FC"/>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5.18%</w:t>
            </w:r>
          </w:p>
        </w:tc>
      </w:tr>
      <w:tr w:rsidR="00000000">
        <w:trPr>
          <w:trHeight w:val="570"/>
          <w:jc w:val="center"/>
        </w:trPr>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13</w:t>
            </w:r>
          </w:p>
        </w:tc>
        <w:tc>
          <w:tcPr>
            <w:tcW w:w="108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镇江市</w:t>
            </w:r>
          </w:p>
        </w:tc>
        <w:tc>
          <w:tcPr>
            <w:tcW w:w="131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48</w:t>
            </w:r>
          </w:p>
        </w:tc>
        <w:tc>
          <w:tcPr>
            <w:tcW w:w="1590" w:type="dxa"/>
            <w:shd w:val="clear" w:color="auto" w:fill="C5D5E9"/>
            <w:vAlign w:val="center"/>
          </w:tcPr>
          <w:p w:rsidR="00000000" w:rsidRDefault="00BC53B5">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2.96%</w:t>
            </w:r>
          </w:p>
        </w:tc>
      </w:tr>
    </w:tbl>
    <w:p w:rsidR="00000000" w:rsidRDefault="00BC53B5" w:rsidP="007546BB">
      <w:pPr>
        <w:spacing w:line="480" w:lineRule="auto"/>
        <w:ind w:firstLineChars="147" w:firstLine="472"/>
        <w:jc w:val="center"/>
        <w:rPr>
          <w:rFonts w:ascii="楷体_GB2312" w:eastAsia="楷体_GB2312" w:hAnsi="楷体_GB2312" w:cs="楷体_GB2312" w:hint="eastAsia"/>
          <w:b/>
          <w:bCs/>
          <w:sz w:val="32"/>
          <w:szCs w:val="32"/>
        </w:rPr>
      </w:pPr>
    </w:p>
    <w:p w:rsidR="00000000" w:rsidRDefault="00BC53B5" w:rsidP="007546BB">
      <w:pPr>
        <w:spacing w:line="480" w:lineRule="auto"/>
        <w:ind w:firstLineChars="147" w:firstLine="472"/>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三、就业率</w:t>
      </w:r>
    </w:p>
    <w:p w:rsidR="00000000" w:rsidRDefault="00BC53B5">
      <w:pPr>
        <w:spacing w:line="480" w:lineRule="auto"/>
        <w:ind w:left="42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就业率是反映在校大学生就业情况和社会对学校毕业生需求程度的重要指示和参考依据，高校毕业生就业率计算公式为：毕</w:t>
      </w:r>
      <w:r>
        <w:rPr>
          <w:rFonts w:ascii="楷体_GB2312" w:eastAsia="楷体_GB2312" w:hAnsi="楷体_GB2312" w:cs="楷体_GB2312" w:hint="eastAsia"/>
          <w:sz w:val="28"/>
          <w:szCs w:val="28"/>
        </w:rPr>
        <w:lastRenderedPageBreak/>
        <w:t>业生就业率</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（毕业生就业人数÷毕业生总人数）×</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p>
    <w:p w:rsidR="00000000" w:rsidRDefault="00BC53B5">
      <w:pPr>
        <w:numPr>
          <w:ilvl w:val="0"/>
          <w:numId w:val="3"/>
        </w:numPr>
        <w:spacing w:line="480" w:lineRule="auto"/>
        <w:jc w:val="lef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毕业生总体就业率</w:t>
      </w:r>
    </w:p>
    <w:p w:rsidR="00000000" w:rsidRDefault="00BC53B5">
      <w:pPr>
        <w:spacing w:line="480" w:lineRule="auto"/>
        <w:ind w:left="420"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截至</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20</w:t>
      </w:r>
      <w:r>
        <w:rPr>
          <w:rFonts w:ascii="楷体_GB2312" w:eastAsia="楷体_GB2312" w:hAnsi="楷体_GB2312" w:cs="楷体_GB2312" w:hint="eastAsia"/>
          <w:sz w:val="28"/>
          <w:szCs w:val="28"/>
        </w:rPr>
        <w:t>日，我</w:t>
      </w:r>
      <w:r>
        <w:rPr>
          <w:rFonts w:ascii="楷体_GB2312" w:eastAsia="楷体_GB2312" w:hAnsi="楷体_GB2312" w:cs="楷体_GB2312" w:hint="eastAsia"/>
          <w:sz w:val="28"/>
          <w:szCs w:val="28"/>
        </w:rPr>
        <w:t>院毕业生年终就业率为</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8.06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，其中人文学部、理学部、</w:t>
      </w:r>
      <w:r>
        <w:rPr>
          <w:rFonts w:ascii="楷体_GB2312" w:eastAsia="楷体_GB2312" w:hAnsi="楷体_GB2312" w:cs="楷体_GB2312" w:hint="eastAsia"/>
          <w:sz w:val="28"/>
          <w:szCs w:val="28"/>
        </w:rPr>
        <w:t>工程学部</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，信息科学部为</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9.18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经管</w:t>
      </w:r>
      <w:r>
        <w:rPr>
          <w:rFonts w:ascii="楷体_GB2312" w:eastAsia="楷体_GB2312" w:hAnsi="楷体_GB2312" w:cs="楷体_GB2312" w:hint="eastAsia"/>
          <w:sz w:val="28"/>
          <w:szCs w:val="28"/>
        </w:rPr>
        <w:t>学部为</w:t>
      </w:r>
      <w:r>
        <w:rPr>
          <w:rFonts w:ascii="楷体_GB2312" w:eastAsia="楷体_GB2312" w:hAnsi="楷体_GB2312" w:cs="楷体_GB2312" w:hint="eastAsia"/>
          <w:sz w:val="28"/>
          <w:szCs w:val="28"/>
        </w:rPr>
        <w:t>99.</w:t>
      </w:r>
      <w:r>
        <w:rPr>
          <w:rFonts w:ascii="楷体_GB2312" w:eastAsia="楷体_GB2312" w:hAnsi="楷体_GB2312" w:cs="楷体_GB2312" w:hint="eastAsia"/>
          <w:sz w:val="28"/>
          <w:szCs w:val="28"/>
        </w:rPr>
        <w:t>63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，医学部</w:t>
      </w:r>
      <w:r>
        <w:rPr>
          <w:rFonts w:ascii="楷体_GB2312" w:eastAsia="楷体_GB2312" w:hAnsi="楷体_GB2312" w:cs="楷体_GB2312" w:hint="eastAsia"/>
          <w:sz w:val="28"/>
          <w:szCs w:val="28"/>
        </w:rPr>
        <w:t>（四）</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9.52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医学部</w:t>
      </w:r>
      <w:r>
        <w:rPr>
          <w:rFonts w:ascii="楷体_GB2312" w:eastAsia="楷体_GB2312" w:hAnsi="楷体_GB2312" w:cs="楷体_GB2312" w:hint="eastAsia"/>
          <w:sz w:val="28"/>
          <w:szCs w:val="28"/>
        </w:rPr>
        <w:t>（五）</w:t>
      </w:r>
      <w:r>
        <w:rPr>
          <w:rFonts w:ascii="楷体_GB2312" w:eastAsia="楷体_GB2312" w:hAnsi="楷体_GB2312" w:cs="楷体_GB2312" w:hint="eastAsia"/>
          <w:sz w:val="28"/>
          <w:szCs w:val="28"/>
        </w:rPr>
        <w:t>89.87%</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1-4</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个学部的年终就业率水平总体较为均衡，其中医学部</w:t>
      </w:r>
      <w:r>
        <w:rPr>
          <w:rFonts w:ascii="楷体_GB2312" w:eastAsia="楷体_GB2312" w:hAnsi="楷体_GB2312" w:cs="楷体_GB2312" w:hint="eastAsia"/>
          <w:sz w:val="28"/>
          <w:szCs w:val="28"/>
        </w:rPr>
        <w:t>（五）</w:t>
      </w:r>
      <w:r>
        <w:rPr>
          <w:rFonts w:ascii="楷体_GB2312" w:eastAsia="楷体_GB2312" w:hAnsi="楷体_GB2312" w:cs="楷体_GB2312" w:hint="eastAsia"/>
          <w:sz w:val="28"/>
          <w:szCs w:val="28"/>
        </w:rPr>
        <w:t>相对较低的原因是医学生到医疗卫生系统就业，必须于毕业当年的下半年参加当地统一考试，如未能通过，则于毕业第二年三月份才有机会参加考试。</w:t>
      </w:r>
    </w:p>
    <w:p w:rsidR="00000000" w:rsidRDefault="007546BB">
      <w:pPr>
        <w:spacing w:line="480" w:lineRule="auto"/>
        <w:ind w:left="420" w:firstLineChars="200" w:firstLine="420"/>
        <w:jc w:val="left"/>
        <w:rPr>
          <w:rFonts w:ascii="楷体_GB2312" w:eastAsia="楷体_GB2312" w:hAnsi="楷体_GB2312" w:cs="楷体_GB2312" w:hint="eastAsia"/>
          <w:sz w:val="28"/>
          <w:szCs w:val="28"/>
        </w:rPr>
      </w:pPr>
      <w:r>
        <w:rPr>
          <w:noProof/>
        </w:rPr>
        <w:drawing>
          <wp:inline distT="0" distB="0" distL="0" distR="0">
            <wp:extent cx="5215780" cy="3307308"/>
            <wp:effectExtent l="3137" t="3947" r="10308" b="12970"/>
            <wp:docPr id="7" name="图片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BC53B5">
      <w:pPr>
        <w:spacing w:line="480" w:lineRule="auto"/>
        <w:jc w:val="center"/>
        <w:rPr>
          <w:rFonts w:ascii="楷体_GB2312" w:eastAsia="楷体_GB2312" w:hAnsi="楷体_GB2312" w:cs="楷体_GB2312"/>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1-4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届毕业生各学部年终就业率情况</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（二）各专业就业率</w:t>
      </w:r>
    </w:p>
    <w:p w:rsidR="00000000" w:rsidRDefault="00BC53B5">
      <w:pPr>
        <w:spacing w:line="480" w:lineRule="auto"/>
        <w:ind w:left="420" w:firstLine="570"/>
        <w:jc w:val="left"/>
        <w:rPr>
          <w:rFonts w:ascii="楷体_GB2312" w:eastAsia="楷体_GB2312" w:hAnsi="楷体_GB2312" w:cs="楷体_GB2312" w:hint="eastAsia"/>
          <w:b/>
          <w:sz w:val="28"/>
          <w:szCs w:val="28"/>
        </w:rPr>
      </w:pP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届毕业生各专业年终就业率均在</w:t>
      </w:r>
      <w:r>
        <w:rPr>
          <w:rFonts w:ascii="楷体_GB2312" w:eastAsia="楷体_GB2312" w:hAnsi="楷体_GB2312" w:cs="楷体_GB2312" w:hint="eastAsia"/>
          <w:sz w:val="28"/>
          <w:szCs w:val="28"/>
        </w:rPr>
        <w:t>93%</w:t>
      </w:r>
      <w:r>
        <w:rPr>
          <w:rFonts w:ascii="楷体_GB2312" w:eastAsia="楷体_GB2312" w:hAnsi="楷体_GB2312" w:cs="楷体_GB2312" w:hint="eastAsia"/>
          <w:sz w:val="28"/>
          <w:szCs w:val="28"/>
        </w:rPr>
        <w:t>以上。其中，汉</w:t>
      </w:r>
      <w:r>
        <w:rPr>
          <w:rFonts w:ascii="楷体_GB2312" w:eastAsia="楷体_GB2312" w:hAnsi="楷体_GB2312" w:cs="楷体_GB2312" w:hint="eastAsia"/>
          <w:sz w:val="28"/>
          <w:szCs w:val="28"/>
        </w:rPr>
        <w:t>语言文学（高级文秘）、汉语言文学（新闻传媒与文化创意）、英</w:t>
      </w:r>
      <w:r>
        <w:rPr>
          <w:rFonts w:ascii="楷体_GB2312" w:eastAsia="楷体_GB2312" w:hAnsi="楷体_GB2312" w:cs="楷体_GB2312" w:hint="eastAsia"/>
          <w:sz w:val="28"/>
          <w:szCs w:val="28"/>
        </w:rPr>
        <w:lastRenderedPageBreak/>
        <w:t>语、英语（商务英语）、日语、日语（商务日语）、艺术设计、动画、国际经济与贸易、市场营销、市场营销（物流管理）、行政管理、计算机科学、</w:t>
      </w:r>
      <w:r>
        <w:rPr>
          <w:rFonts w:ascii="楷体_GB2312" w:eastAsia="楷体_GB2312" w:hAnsi="楷体_GB2312" w:cs="楷体_GB2312" w:hint="eastAsia"/>
          <w:sz w:val="28"/>
          <w:szCs w:val="28"/>
        </w:rPr>
        <w:t>电子信息工程（光伏与微电子技术）、</w:t>
      </w:r>
      <w:r>
        <w:rPr>
          <w:rFonts w:ascii="楷体_GB2312" w:eastAsia="楷体_GB2312" w:hAnsi="楷体_GB2312" w:cs="楷体_GB2312" w:hint="eastAsia"/>
          <w:sz w:val="28"/>
          <w:szCs w:val="28"/>
        </w:rPr>
        <w:t>集成电路设计与集成系统、服装设计与工程、</w:t>
      </w:r>
      <w:r>
        <w:rPr>
          <w:rFonts w:ascii="楷体_GB2312" w:eastAsia="楷体_GB2312" w:hAnsi="楷体_GB2312" w:cs="楷体_GB2312" w:hint="eastAsia"/>
          <w:sz w:val="28"/>
          <w:szCs w:val="28"/>
        </w:rPr>
        <w:t>机械工程及自动化</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土木工程</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、化学工程与工艺、轻化工程（染整工程）、</w:t>
      </w:r>
      <w:r>
        <w:rPr>
          <w:rFonts w:ascii="楷体_GB2312" w:eastAsia="楷体_GB2312" w:hAnsi="楷体_GB2312" w:cs="楷体_GB2312" w:hint="eastAsia"/>
          <w:sz w:val="28"/>
          <w:szCs w:val="28"/>
        </w:rPr>
        <w:t>纺织工程（纺织品检验与贸易）、</w:t>
      </w:r>
      <w:r>
        <w:rPr>
          <w:rFonts w:ascii="楷体_GB2312" w:eastAsia="楷体_GB2312" w:hAnsi="楷体_GB2312" w:cs="楷体_GB2312" w:hint="eastAsia"/>
          <w:sz w:val="28"/>
          <w:szCs w:val="28"/>
        </w:rPr>
        <w:t>服装设计与工程（服装艺术设计）、工程管理、资源环境与城乡规划管理、统计学（金融统计）、</w:t>
      </w:r>
      <w:r>
        <w:rPr>
          <w:rFonts w:ascii="楷体_GB2312" w:eastAsia="楷体_GB2312" w:hAnsi="楷体_GB2312" w:cs="楷体_GB2312" w:hint="eastAsia"/>
          <w:sz w:val="28"/>
          <w:szCs w:val="28"/>
        </w:rPr>
        <w:t>海洋技术、</w:t>
      </w:r>
      <w:r>
        <w:rPr>
          <w:rFonts w:ascii="楷体_GB2312" w:eastAsia="楷体_GB2312" w:hAnsi="楷体_GB2312" w:cs="楷体_GB2312" w:hint="eastAsia"/>
          <w:sz w:val="28"/>
          <w:szCs w:val="28"/>
        </w:rPr>
        <w:t>应用心理学</w:t>
      </w:r>
      <w:r>
        <w:rPr>
          <w:rFonts w:ascii="楷体_GB2312" w:eastAsia="楷体_GB2312" w:hAnsi="楷体_GB2312" w:cs="楷体_GB2312" w:hint="eastAsia"/>
          <w:sz w:val="28"/>
          <w:szCs w:val="28"/>
        </w:rPr>
        <w:t>、医学影像学、护理学、</w:t>
      </w:r>
      <w:r>
        <w:rPr>
          <w:rFonts w:ascii="楷体_GB2312" w:eastAsia="楷体_GB2312" w:hAnsi="楷体_GB2312" w:cs="楷体_GB2312" w:hint="eastAsia"/>
          <w:sz w:val="28"/>
          <w:szCs w:val="28"/>
        </w:rPr>
        <w:t>等</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个专业，年终就</w:t>
      </w:r>
      <w:r>
        <w:rPr>
          <w:rFonts w:ascii="楷体_GB2312" w:eastAsia="楷体_GB2312" w:hAnsi="楷体_GB2312" w:cs="楷体_GB2312" w:hint="eastAsia"/>
          <w:sz w:val="28"/>
          <w:szCs w:val="28"/>
        </w:rPr>
        <w:t>业率均达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1-4</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BC53B5">
      <w:pPr>
        <w:spacing w:line="480" w:lineRule="auto"/>
        <w:ind w:left="420"/>
        <w:jc w:val="center"/>
        <w:rPr>
          <w:rFonts w:ascii="楷体_GB2312" w:eastAsia="楷体_GB2312" w:hAnsi="楷体_GB2312" w:cs="楷体_GB2312" w:hint="eastAsia"/>
          <w:b/>
          <w:sz w:val="28"/>
          <w:szCs w:val="28"/>
        </w:rPr>
      </w:pPr>
      <w:r>
        <w:rPr>
          <w:rFonts w:ascii="楷体_GB2312" w:eastAsia="楷体_GB2312" w:hAnsi="楷体_GB2312" w:cs="楷体_GB2312" w:hint="eastAsia"/>
          <w:b/>
          <w:sz w:val="28"/>
          <w:szCs w:val="28"/>
        </w:rPr>
        <w:t>表</w:t>
      </w:r>
      <w:r>
        <w:rPr>
          <w:rFonts w:ascii="楷体_GB2312" w:eastAsia="楷体_GB2312" w:hAnsi="楷体_GB2312" w:cs="楷体_GB2312" w:hint="eastAsia"/>
          <w:b/>
          <w:sz w:val="28"/>
          <w:szCs w:val="28"/>
        </w:rPr>
        <w:t>1-4  201</w:t>
      </w:r>
      <w:r>
        <w:rPr>
          <w:rFonts w:ascii="楷体_GB2312" w:eastAsia="楷体_GB2312" w:hAnsi="楷体_GB2312" w:cs="楷体_GB2312" w:hint="eastAsia"/>
          <w:b/>
          <w:sz w:val="28"/>
          <w:szCs w:val="28"/>
        </w:rPr>
        <w:t>6</w:t>
      </w:r>
      <w:r>
        <w:rPr>
          <w:rFonts w:ascii="楷体_GB2312" w:eastAsia="楷体_GB2312" w:hAnsi="楷体_GB2312" w:cs="楷体_GB2312" w:hint="eastAsia"/>
          <w:b/>
          <w:sz w:val="28"/>
          <w:szCs w:val="28"/>
        </w:rPr>
        <w:t>届各专业毕业生就业率统计表</w:t>
      </w:r>
    </w:p>
    <w:tbl>
      <w:tblPr>
        <w:tblW w:w="0" w:type="auto"/>
        <w:jc w:val="center"/>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tblPr>
      <w:tblGrid>
        <w:gridCol w:w="1586"/>
        <w:gridCol w:w="1039"/>
        <w:gridCol w:w="3552"/>
        <w:gridCol w:w="2223"/>
      </w:tblGrid>
      <w:tr w:rsidR="00000000">
        <w:trPr>
          <w:trHeight w:val="272"/>
          <w:tblHeader/>
          <w:jc w:val="center"/>
        </w:trPr>
        <w:tc>
          <w:tcPr>
            <w:tcW w:w="1586"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院系名称</w:t>
            </w:r>
          </w:p>
        </w:tc>
        <w:tc>
          <w:tcPr>
            <w:tcW w:w="1039"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各院系就业率</w:t>
            </w:r>
          </w:p>
        </w:tc>
        <w:tc>
          <w:tcPr>
            <w:tcW w:w="3552"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专业名称</w:t>
            </w:r>
          </w:p>
        </w:tc>
        <w:tc>
          <w:tcPr>
            <w:tcW w:w="2223"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各专业就业率</w:t>
            </w:r>
          </w:p>
        </w:tc>
      </w:tr>
      <w:tr w:rsidR="00000000">
        <w:trPr>
          <w:trHeight w:val="272"/>
          <w:jc w:val="center"/>
        </w:trPr>
        <w:tc>
          <w:tcPr>
            <w:tcW w:w="1586" w:type="dxa"/>
            <w:vMerge w:val="restart"/>
            <w:shd w:val="clear" w:color="D9E1F2" w:fill="D9E1F2"/>
            <w:vAlign w:val="center"/>
          </w:tcPr>
          <w:p w:rsidR="00000000" w:rsidRDefault="00BC53B5">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人文学部</w:t>
            </w:r>
          </w:p>
        </w:tc>
        <w:tc>
          <w:tcPr>
            <w:tcW w:w="1039" w:type="dxa"/>
            <w:vMerge w:val="restart"/>
            <w:shd w:val="clear" w:color="D9E1F2" w:fill="D9E1F2"/>
            <w:vAlign w:val="center"/>
          </w:tcPr>
          <w:p w:rsidR="00000000" w:rsidRDefault="00BC53B5">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c>
          <w:tcPr>
            <w:tcW w:w="3552"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汉语言文学（高级文秘）</w:t>
            </w:r>
            <w:r>
              <w:rPr>
                <w:rFonts w:ascii="宋体" w:hAnsi="宋体" w:cs="宋体" w:hint="eastAsia"/>
                <w:color w:val="000000"/>
                <w:kern w:val="0"/>
                <w:sz w:val="20"/>
                <w:szCs w:val="20"/>
                <w:lang/>
              </w:rPr>
              <w:t xml:space="preserve">                                      </w:t>
            </w:r>
          </w:p>
        </w:tc>
        <w:tc>
          <w:tcPr>
            <w:tcW w:w="2223"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auto" w:fill="C5D5E9"/>
            <w:vAlign w:val="center"/>
          </w:tcPr>
          <w:p w:rsidR="00000000" w:rsidRDefault="00BC53B5">
            <w:pPr>
              <w:jc w:val="left"/>
              <w:rPr>
                <w:rFonts w:ascii="宋体" w:hAnsi="宋体" w:cs="宋体" w:hint="eastAsia"/>
                <w:color w:val="000000"/>
                <w:kern w:val="0"/>
                <w:sz w:val="20"/>
                <w:szCs w:val="20"/>
              </w:rPr>
            </w:pPr>
          </w:p>
        </w:tc>
        <w:tc>
          <w:tcPr>
            <w:tcW w:w="1039" w:type="dxa"/>
            <w:vMerge/>
            <w:shd w:val="clear" w:color="auto" w:fill="C5D5E9"/>
            <w:vAlign w:val="center"/>
          </w:tcPr>
          <w:p w:rsidR="00000000" w:rsidRDefault="00BC53B5">
            <w:pPr>
              <w:jc w:val="left"/>
              <w:rPr>
                <w:rFonts w:ascii="宋体" w:hAnsi="宋体" w:cs="宋体" w:hint="eastAsia"/>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汉语言文学（新闻传媒与文化创意）</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D9E1F2" w:fill="D9E1F2"/>
            <w:vAlign w:val="center"/>
          </w:tcPr>
          <w:p w:rsidR="00000000" w:rsidRDefault="00BC53B5">
            <w:pPr>
              <w:jc w:val="left"/>
              <w:rPr>
                <w:rFonts w:ascii="宋体" w:hAnsi="宋体" w:cs="宋体" w:hint="eastAsia"/>
                <w:color w:val="000000"/>
                <w:kern w:val="0"/>
                <w:sz w:val="20"/>
                <w:szCs w:val="20"/>
              </w:rPr>
            </w:pPr>
          </w:p>
        </w:tc>
        <w:tc>
          <w:tcPr>
            <w:tcW w:w="1039" w:type="dxa"/>
            <w:vMerge/>
            <w:shd w:val="clear" w:color="D9E1F2" w:fill="D9E1F2"/>
            <w:vAlign w:val="center"/>
          </w:tcPr>
          <w:p w:rsidR="00000000" w:rsidRDefault="00BC53B5">
            <w:pPr>
              <w:jc w:val="left"/>
              <w:rPr>
                <w:rFonts w:ascii="宋体" w:hAnsi="宋体" w:cs="宋体" w:hint="eastAsia"/>
                <w:color w:val="000000"/>
                <w:kern w:val="0"/>
                <w:sz w:val="20"/>
                <w:szCs w:val="20"/>
              </w:rPr>
            </w:pPr>
          </w:p>
        </w:tc>
        <w:tc>
          <w:tcPr>
            <w:tcW w:w="3552"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英语</w:t>
            </w:r>
            <w:r>
              <w:rPr>
                <w:rFonts w:ascii="宋体" w:hAnsi="宋体" w:cs="宋体" w:hint="eastAsia"/>
                <w:color w:val="000000"/>
                <w:kern w:val="0"/>
                <w:sz w:val="20"/>
                <w:szCs w:val="20"/>
                <w:lang/>
              </w:rPr>
              <w:t xml:space="preserve">                                                        </w:t>
            </w:r>
          </w:p>
        </w:tc>
        <w:tc>
          <w:tcPr>
            <w:tcW w:w="2223"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w:t>
            </w:r>
            <w:r>
              <w:rPr>
                <w:rFonts w:ascii="宋体" w:hAnsi="宋体" w:cs="宋体" w:hint="eastAsia"/>
                <w:color w:val="000000"/>
                <w:kern w:val="0"/>
                <w:sz w:val="20"/>
                <w:szCs w:val="20"/>
                <w:lang/>
              </w:rPr>
              <w:t>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auto" w:fill="F6F8FC"/>
            <w:vAlign w:val="center"/>
          </w:tcPr>
          <w:p w:rsidR="00000000" w:rsidRDefault="00BC53B5">
            <w:pPr>
              <w:jc w:val="left"/>
              <w:rPr>
                <w:rFonts w:ascii="宋体" w:hAnsi="宋体" w:cs="宋体" w:hint="eastAsia"/>
                <w:color w:val="000000"/>
                <w:kern w:val="0"/>
                <w:sz w:val="20"/>
                <w:szCs w:val="20"/>
              </w:rPr>
            </w:pPr>
          </w:p>
        </w:tc>
        <w:tc>
          <w:tcPr>
            <w:tcW w:w="1039" w:type="dxa"/>
            <w:vMerge/>
            <w:shd w:val="clear" w:color="auto" w:fill="F6F8FC"/>
            <w:vAlign w:val="center"/>
          </w:tcPr>
          <w:p w:rsidR="00000000" w:rsidRDefault="00BC53B5">
            <w:pPr>
              <w:jc w:val="left"/>
              <w:rPr>
                <w:rFonts w:ascii="宋体" w:hAnsi="宋体" w:cs="宋体" w:hint="eastAsia"/>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英语（商务英语）</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D9E1F2" w:fill="D9E1F2"/>
            <w:vAlign w:val="center"/>
          </w:tcPr>
          <w:p w:rsidR="00000000" w:rsidRDefault="00BC53B5">
            <w:pPr>
              <w:jc w:val="left"/>
              <w:rPr>
                <w:rFonts w:ascii="宋体" w:hAnsi="宋体" w:cs="宋体" w:hint="eastAsia"/>
                <w:color w:val="000000"/>
                <w:kern w:val="0"/>
                <w:sz w:val="20"/>
                <w:szCs w:val="20"/>
              </w:rPr>
            </w:pPr>
          </w:p>
        </w:tc>
        <w:tc>
          <w:tcPr>
            <w:tcW w:w="1039" w:type="dxa"/>
            <w:vMerge/>
            <w:shd w:val="clear" w:color="D9E1F2" w:fill="D9E1F2"/>
            <w:vAlign w:val="center"/>
          </w:tcPr>
          <w:p w:rsidR="00000000" w:rsidRDefault="00BC53B5">
            <w:pPr>
              <w:jc w:val="left"/>
              <w:rPr>
                <w:rFonts w:ascii="宋体" w:hAnsi="宋体" w:cs="宋体" w:hint="eastAsia"/>
                <w:color w:val="000000"/>
                <w:kern w:val="0"/>
                <w:sz w:val="20"/>
                <w:szCs w:val="20"/>
              </w:rPr>
            </w:pPr>
          </w:p>
        </w:tc>
        <w:tc>
          <w:tcPr>
            <w:tcW w:w="3552"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日语</w:t>
            </w:r>
            <w:r>
              <w:rPr>
                <w:rFonts w:ascii="宋体" w:hAnsi="宋体" w:cs="宋体" w:hint="eastAsia"/>
                <w:color w:val="000000"/>
                <w:kern w:val="0"/>
                <w:sz w:val="20"/>
                <w:szCs w:val="20"/>
                <w:lang/>
              </w:rPr>
              <w:t xml:space="preserve">                                                        </w:t>
            </w:r>
          </w:p>
        </w:tc>
        <w:tc>
          <w:tcPr>
            <w:tcW w:w="2223"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auto" w:fill="C5D5E9"/>
            <w:vAlign w:val="center"/>
          </w:tcPr>
          <w:p w:rsidR="00000000" w:rsidRDefault="00BC53B5">
            <w:pPr>
              <w:jc w:val="left"/>
              <w:rPr>
                <w:rFonts w:ascii="宋体" w:hAnsi="宋体" w:cs="宋体" w:hint="eastAsia"/>
                <w:color w:val="000000"/>
                <w:kern w:val="0"/>
                <w:sz w:val="20"/>
                <w:szCs w:val="20"/>
              </w:rPr>
            </w:pPr>
          </w:p>
        </w:tc>
        <w:tc>
          <w:tcPr>
            <w:tcW w:w="1039" w:type="dxa"/>
            <w:vMerge/>
            <w:shd w:val="clear" w:color="auto" w:fill="C5D5E9"/>
            <w:vAlign w:val="center"/>
          </w:tcPr>
          <w:p w:rsidR="00000000" w:rsidRDefault="00BC53B5">
            <w:pPr>
              <w:jc w:val="left"/>
              <w:rPr>
                <w:rFonts w:ascii="宋体" w:hAnsi="宋体" w:cs="宋体" w:hint="eastAsia"/>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日语（商务日语）</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D9E1F2" w:fill="D9E1F2"/>
            <w:vAlign w:val="center"/>
          </w:tcPr>
          <w:p w:rsidR="00000000" w:rsidRDefault="00BC53B5">
            <w:pPr>
              <w:jc w:val="left"/>
              <w:rPr>
                <w:rFonts w:ascii="宋体" w:hAnsi="宋体" w:cs="宋体" w:hint="eastAsia"/>
                <w:color w:val="000000"/>
                <w:kern w:val="0"/>
                <w:sz w:val="20"/>
                <w:szCs w:val="20"/>
              </w:rPr>
            </w:pPr>
          </w:p>
        </w:tc>
        <w:tc>
          <w:tcPr>
            <w:tcW w:w="1039" w:type="dxa"/>
            <w:vMerge/>
            <w:shd w:val="clear" w:color="D9E1F2" w:fill="D9E1F2"/>
            <w:vAlign w:val="center"/>
          </w:tcPr>
          <w:p w:rsidR="00000000" w:rsidRDefault="00BC53B5">
            <w:pPr>
              <w:jc w:val="left"/>
              <w:rPr>
                <w:rFonts w:ascii="宋体" w:hAnsi="宋体" w:cs="宋体" w:hint="eastAsia"/>
                <w:color w:val="000000"/>
                <w:kern w:val="0"/>
                <w:sz w:val="20"/>
                <w:szCs w:val="20"/>
              </w:rPr>
            </w:pPr>
          </w:p>
        </w:tc>
        <w:tc>
          <w:tcPr>
            <w:tcW w:w="3552"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艺术设计</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 xml:space="preserve">       </w:t>
            </w:r>
          </w:p>
        </w:tc>
        <w:tc>
          <w:tcPr>
            <w:tcW w:w="2223"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bottom w:val="single" w:sz="6" w:space="0" w:color="FFFFFF"/>
            </w:tcBorders>
            <w:shd w:val="clear" w:color="auto" w:fill="F6F8FC"/>
            <w:vAlign w:val="center"/>
          </w:tcPr>
          <w:p w:rsidR="00000000" w:rsidRDefault="00BC53B5">
            <w:pPr>
              <w:jc w:val="left"/>
              <w:rPr>
                <w:rFonts w:ascii="宋体" w:hAnsi="宋体" w:cs="宋体" w:hint="eastAsia"/>
                <w:color w:val="000000"/>
                <w:kern w:val="0"/>
                <w:sz w:val="20"/>
                <w:szCs w:val="20"/>
              </w:rPr>
            </w:pPr>
          </w:p>
        </w:tc>
        <w:tc>
          <w:tcPr>
            <w:tcW w:w="1039" w:type="dxa"/>
            <w:vMerge/>
            <w:tcBorders>
              <w:bottom w:val="single" w:sz="6" w:space="0" w:color="FFFFFF"/>
            </w:tcBorders>
            <w:shd w:val="clear" w:color="auto" w:fill="F6F8FC"/>
            <w:vAlign w:val="center"/>
          </w:tcPr>
          <w:p w:rsidR="00000000" w:rsidRDefault="00BC53B5">
            <w:pPr>
              <w:jc w:val="left"/>
              <w:rPr>
                <w:rFonts w:ascii="宋体" w:hAnsi="宋体" w:cs="宋体" w:hint="eastAsia"/>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动画</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val="restart"/>
            <w:shd w:val="clear" w:color="D9E1F2" w:fill="D9E1F2"/>
            <w:vAlign w:val="center"/>
          </w:tcPr>
          <w:p w:rsidR="00000000" w:rsidRDefault="00BC53B5">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理学部</w:t>
            </w:r>
          </w:p>
        </w:tc>
        <w:tc>
          <w:tcPr>
            <w:tcW w:w="1039" w:type="dxa"/>
            <w:vMerge w:val="restart"/>
            <w:shd w:val="clear" w:color="D9E1F2" w:fill="D9E1F2"/>
            <w:vAlign w:val="center"/>
          </w:tcPr>
          <w:p w:rsidR="00000000" w:rsidRDefault="00BC53B5">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c>
          <w:tcPr>
            <w:tcW w:w="3552"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资源环境与城乡规划管理</w:t>
            </w:r>
            <w:r>
              <w:rPr>
                <w:rFonts w:ascii="宋体" w:hAnsi="宋体" w:cs="宋体" w:hint="eastAsia"/>
                <w:color w:val="000000"/>
                <w:kern w:val="0"/>
                <w:sz w:val="20"/>
                <w:szCs w:val="20"/>
                <w:lang/>
              </w:rPr>
              <w:t xml:space="preserve">                                      </w:t>
            </w:r>
          </w:p>
        </w:tc>
        <w:tc>
          <w:tcPr>
            <w:tcW w:w="2223" w:type="dxa"/>
            <w:shd w:val="clear" w:color="D9E1F2" w:fill="D9E1F2"/>
            <w:vAlign w:val="center"/>
          </w:tcPr>
          <w:p w:rsidR="00000000" w:rsidRDefault="00BC53B5">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海洋技术</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1039" w:type="dxa"/>
            <w:vMerge/>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应用心理学</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bottom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tcBorders>
              <w:bottom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统计学（金融统计）</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val="restart"/>
            <w:tcBorders>
              <w:top w:val="single" w:sz="6" w:space="0" w:color="FFFFFF"/>
              <w:left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经济与管理学部</w:t>
            </w:r>
          </w:p>
        </w:tc>
        <w:tc>
          <w:tcPr>
            <w:tcW w:w="1039" w:type="dxa"/>
            <w:vMerge w:val="restart"/>
            <w:tcBorders>
              <w:top w:val="single" w:sz="6" w:space="0" w:color="FFFFFF"/>
              <w:left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99.63</w:t>
            </w: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国际经济与贸易</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市场营销</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市场营销（物流管理）</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会计学</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99.06</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bottom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bottom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行政管理</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val="restart"/>
            <w:tcBorders>
              <w:top w:val="single" w:sz="6" w:space="0" w:color="FFFFFF"/>
              <w:left w:val="single" w:sz="6" w:space="0" w:color="FFFFFF"/>
              <w:right w:val="single" w:sz="6" w:space="0" w:color="FFFFFF"/>
            </w:tcBorders>
            <w:shd w:val="clear" w:color="auto" w:fill="C5D5E9"/>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信息科学部</w:t>
            </w:r>
          </w:p>
        </w:tc>
        <w:tc>
          <w:tcPr>
            <w:tcW w:w="1039" w:type="dxa"/>
            <w:vMerge w:val="restart"/>
            <w:tcBorders>
              <w:top w:val="single" w:sz="6" w:space="0" w:color="FFFFFF"/>
              <w:left w:val="single" w:sz="6" w:space="0" w:color="FFFFFF"/>
              <w:right w:val="single" w:sz="6" w:space="0" w:color="FFFFFF"/>
            </w:tcBorders>
            <w:shd w:val="clear" w:color="auto" w:fill="C5D5E9"/>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99.18</w:t>
            </w: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自动化</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98.21</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电子信息工程</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97.83</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电子信息工程（光伏与微电子技术）</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计算机科学与技术</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bottom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bottom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集成电路设计与集成系统</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val="restart"/>
            <w:tcBorders>
              <w:top w:val="single" w:sz="6" w:space="0" w:color="FFFFFF"/>
              <w:left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工程</w:t>
            </w:r>
            <w:r>
              <w:rPr>
                <w:rFonts w:ascii="宋体" w:hAnsi="宋体" w:cs="宋体" w:hint="eastAsia"/>
                <w:color w:val="000000"/>
                <w:kern w:val="0"/>
                <w:sz w:val="20"/>
                <w:szCs w:val="20"/>
                <w:lang/>
              </w:rPr>
              <w:t>学部</w:t>
            </w:r>
          </w:p>
        </w:tc>
        <w:tc>
          <w:tcPr>
            <w:tcW w:w="1039" w:type="dxa"/>
            <w:vMerge w:val="restart"/>
            <w:tcBorders>
              <w:top w:val="single" w:sz="6" w:space="0" w:color="FFFFFF"/>
              <w:left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机械工程及自动化</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土木工程</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D9E1F2" w:fill="D9E1F2"/>
            <w:vAlign w:val="center"/>
          </w:tcPr>
          <w:p w:rsidR="00000000" w:rsidRDefault="00BC53B5">
            <w:pPr>
              <w:jc w:val="left"/>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D9E1F2" w:fill="D9E1F2"/>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化学工程与工艺</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轻化工程（染整工程）</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D9E1F2" w:fill="D9E1F2"/>
            <w:vAlign w:val="center"/>
          </w:tcPr>
          <w:p w:rsidR="00000000" w:rsidRDefault="00BC53B5">
            <w:pPr>
              <w:jc w:val="left"/>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D9E1F2" w:fill="D9E1F2"/>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纺织工程（纺织品检验与贸易）</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服装设计与工程</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bottom w:val="single" w:sz="6" w:space="0" w:color="FFFFFF"/>
              <w:right w:val="single" w:sz="6" w:space="0" w:color="FFFFFF"/>
            </w:tcBorders>
            <w:shd w:val="clear" w:color="D9E1F2" w:fill="D9E1F2"/>
            <w:vAlign w:val="center"/>
          </w:tcPr>
          <w:p w:rsidR="00000000" w:rsidRDefault="00BC53B5">
            <w:pPr>
              <w:jc w:val="left"/>
              <w:rPr>
                <w:rFonts w:ascii="宋体" w:hAnsi="宋体" w:cs="宋体" w:hint="eastAsia"/>
                <w:b/>
                <w:bCs/>
                <w:color w:val="000000"/>
                <w:kern w:val="0"/>
                <w:sz w:val="20"/>
                <w:szCs w:val="20"/>
              </w:rPr>
            </w:pPr>
          </w:p>
        </w:tc>
        <w:tc>
          <w:tcPr>
            <w:tcW w:w="1039" w:type="dxa"/>
            <w:vMerge/>
            <w:tcBorders>
              <w:left w:val="single" w:sz="6" w:space="0" w:color="FFFFFF"/>
              <w:bottom w:val="single" w:sz="6" w:space="0" w:color="FFFFFF"/>
              <w:right w:val="single" w:sz="6" w:space="0" w:color="FFFFFF"/>
            </w:tcBorders>
            <w:shd w:val="clear" w:color="D9E1F2" w:fill="D9E1F2"/>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服装设计与工程（服装艺术设计）</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1039"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jc w:val="left"/>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工程管理</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val="restart"/>
            <w:tcBorders>
              <w:top w:val="single" w:sz="6" w:space="0" w:color="FFFFFF"/>
              <w:left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医学部</w:t>
            </w:r>
            <w:r>
              <w:rPr>
                <w:rFonts w:ascii="宋体" w:hAnsi="宋体" w:cs="宋体" w:hint="eastAsia"/>
                <w:color w:val="000000"/>
                <w:kern w:val="0"/>
                <w:sz w:val="20"/>
                <w:szCs w:val="20"/>
                <w:lang/>
              </w:rPr>
              <w:t>(</w:t>
            </w:r>
            <w:r>
              <w:rPr>
                <w:rFonts w:ascii="宋体" w:hAnsi="宋体" w:cs="宋体" w:hint="eastAsia"/>
                <w:color w:val="000000"/>
                <w:kern w:val="0"/>
                <w:sz w:val="20"/>
                <w:szCs w:val="20"/>
                <w:lang/>
              </w:rPr>
              <w:t>四）</w:t>
            </w:r>
          </w:p>
        </w:tc>
        <w:tc>
          <w:tcPr>
            <w:tcW w:w="1039" w:type="dxa"/>
            <w:vMerge w:val="restart"/>
            <w:tcBorders>
              <w:top w:val="single" w:sz="6" w:space="0" w:color="FFFFFF"/>
              <w:left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99.52</w:t>
            </w: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医学影像学</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right w:val="single" w:sz="6" w:space="0" w:color="FFFFFF"/>
            </w:tcBorders>
            <w:shd w:val="clear" w:color="auto" w:fill="C5D5E9"/>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医学检验</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97.62</w:t>
            </w:r>
            <w:r>
              <w:rPr>
                <w:rFonts w:ascii="宋体" w:hAnsi="宋体" w:cs="宋体" w:hint="eastAsia"/>
                <w:color w:val="000000"/>
                <w:kern w:val="0"/>
                <w:sz w:val="20"/>
                <w:szCs w:val="20"/>
                <w:lang/>
              </w:rPr>
              <w:t xml:space="preserve"> </w:t>
            </w:r>
          </w:p>
        </w:tc>
      </w:tr>
      <w:tr w:rsidR="00000000">
        <w:trPr>
          <w:trHeight w:val="272"/>
          <w:jc w:val="center"/>
        </w:trPr>
        <w:tc>
          <w:tcPr>
            <w:tcW w:w="1586" w:type="dxa"/>
            <w:vMerge/>
            <w:tcBorders>
              <w:left w:val="single" w:sz="6" w:space="0" w:color="FFFFFF"/>
              <w:bottom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1039" w:type="dxa"/>
            <w:vMerge/>
            <w:tcBorders>
              <w:left w:val="single" w:sz="6" w:space="0" w:color="FFFFFF"/>
              <w:bottom w:val="single" w:sz="6" w:space="0" w:color="FFFFFF"/>
              <w:right w:val="single" w:sz="6" w:space="0" w:color="FFFFFF"/>
            </w:tcBorders>
            <w:shd w:val="clear" w:color="D9E1F2" w:fill="D9E1F2"/>
            <w:vAlign w:val="center"/>
          </w:tcPr>
          <w:p w:rsidR="00000000" w:rsidRDefault="00BC53B5">
            <w:pPr>
              <w:jc w:val="center"/>
              <w:rPr>
                <w:rFonts w:ascii="宋体" w:hAnsi="宋体" w:cs="宋体" w:hint="eastAsia"/>
                <w:b/>
                <w:bCs/>
                <w:color w:val="000000"/>
                <w:kern w:val="0"/>
                <w:sz w:val="20"/>
                <w:szCs w:val="20"/>
              </w:rPr>
            </w:pP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护理学</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r>
              <w:rPr>
                <w:rFonts w:ascii="宋体" w:hAnsi="宋体" w:cs="宋体" w:hint="eastAsia"/>
                <w:color w:val="000000"/>
                <w:kern w:val="0"/>
                <w:sz w:val="20"/>
                <w:szCs w:val="20"/>
                <w:lang/>
              </w:rPr>
              <w:t xml:space="preserve"> </w:t>
            </w:r>
          </w:p>
        </w:tc>
      </w:tr>
      <w:tr w:rsidR="00000000">
        <w:trPr>
          <w:trHeight w:val="272"/>
          <w:jc w:val="center"/>
        </w:trPr>
        <w:tc>
          <w:tcPr>
            <w:tcW w:w="1586"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医学部（五）</w:t>
            </w:r>
          </w:p>
        </w:tc>
        <w:tc>
          <w:tcPr>
            <w:tcW w:w="1039"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89.87</w:t>
            </w:r>
          </w:p>
        </w:tc>
        <w:tc>
          <w:tcPr>
            <w:tcW w:w="3552"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临床医学</w:t>
            </w:r>
            <w:r>
              <w:rPr>
                <w:rFonts w:ascii="宋体" w:hAnsi="宋体" w:cs="宋体" w:hint="eastAsia"/>
                <w:color w:val="000000"/>
                <w:kern w:val="0"/>
                <w:sz w:val="20"/>
                <w:szCs w:val="20"/>
                <w:lang/>
              </w:rPr>
              <w:t xml:space="preserve">                      </w:t>
            </w:r>
            <w:r>
              <w:rPr>
                <w:rFonts w:ascii="宋体" w:hAnsi="宋体" w:cs="宋体" w:hint="eastAsia"/>
                <w:color w:val="000000"/>
                <w:kern w:val="0"/>
                <w:sz w:val="20"/>
                <w:szCs w:val="20"/>
                <w:lang/>
              </w:rPr>
              <w:t xml:space="preserve">                              </w:t>
            </w:r>
          </w:p>
        </w:tc>
        <w:tc>
          <w:tcPr>
            <w:tcW w:w="2223" w:type="dxa"/>
            <w:tcBorders>
              <w:top w:val="single" w:sz="6" w:space="0" w:color="FFFFFF"/>
              <w:left w:val="single" w:sz="6" w:space="0" w:color="FFFFFF"/>
              <w:bottom w:val="single" w:sz="6" w:space="0" w:color="FFFFFF"/>
              <w:right w:val="single" w:sz="6" w:space="0" w:color="FFFFFF"/>
            </w:tcBorders>
            <w:shd w:val="clear" w:color="auto" w:fill="C5D5E9"/>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89.87</w:t>
            </w:r>
            <w:r>
              <w:rPr>
                <w:rFonts w:ascii="宋体" w:hAnsi="宋体" w:cs="宋体" w:hint="eastAsia"/>
                <w:color w:val="000000"/>
                <w:kern w:val="0"/>
                <w:sz w:val="20"/>
                <w:szCs w:val="20"/>
                <w:lang/>
              </w:rPr>
              <w:t xml:space="preserve"> </w:t>
            </w:r>
          </w:p>
        </w:tc>
      </w:tr>
      <w:tr w:rsidR="00000000">
        <w:trPr>
          <w:trHeight w:val="272"/>
          <w:jc w:val="center"/>
        </w:trPr>
        <w:tc>
          <w:tcPr>
            <w:tcW w:w="1586"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b/>
                <w:color w:val="000000"/>
                <w:kern w:val="0"/>
                <w:sz w:val="20"/>
                <w:szCs w:val="20"/>
                <w:lang/>
              </w:rPr>
              <w:t>本校平均</w:t>
            </w:r>
          </w:p>
        </w:tc>
        <w:tc>
          <w:tcPr>
            <w:tcW w:w="1039"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98.31</w:t>
            </w:r>
          </w:p>
        </w:tc>
        <w:tc>
          <w:tcPr>
            <w:tcW w:w="3552"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b/>
                <w:color w:val="000000"/>
                <w:kern w:val="0"/>
                <w:sz w:val="20"/>
                <w:szCs w:val="20"/>
                <w:lang/>
              </w:rPr>
              <w:t>本校平均</w:t>
            </w:r>
          </w:p>
        </w:tc>
        <w:tc>
          <w:tcPr>
            <w:tcW w:w="2223" w:type="dxa"/>
            <w:tcBorders>
              <w:top w:val="single" w:sz="6" w:space="0" w:color="FFFFFF"/>
              <w:left w:val="single" w:sz="6" w:space="0" w:color="FFFFFF"/>
              <w:bottom w:val="single" w:sz="6" w:space="0" w:color="FFFFFF"/>
              <w:right w:val="single" w:sz="6" w:space="0" w:color="FFFFFF"/>
            </w:tcBorders>
            <w:shd w:val="clear" w:color="D9E1F2" w:fill="D9E1F2"/>
            <w:vAlign w:val="center"/>
          </w:tcPr>
          <w:p w:rsidR="00000000" w:rsidRDefault="00BC53B5">
            <w:pPr>
              <w:widowControl/>
              <w:jc w:val="left"/>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99.49</w:t>
            </w:r>
            <w:r>
              <w:rPr>
                <w:rFonts w:ascii="宋体" w:hAnsi="宋体" w:cs="宋体" w:hint="eastAsia"/>
                <w:color w:val="000000"/>
                <w:kern w:val="0"/>
                <w:sz w:val="20"/>
                <w:szCs w:val="20"/>
                <w:lang/>
              </w:rPr>
              <w:t xml:space="preserve"> </w:t>
            </w:r>
          </w:p>
        </w:tc>
      </w:tr>
    </w:tbl>
    <w:p w:rsidR="00000000" w:rsidRDefault="00BC53B5">
      <w:pPr>
        <w:spacing w:line="480" w:lineRule="auto"/>
        <w:ind w:left="420"/>
        <w:jc w:val="center"/>
        <w:rPr>
          <w:rFonts w:ascii="楷体_GB2312" w:eastAsia="楷体_GB2312" w:hAnsi="楷体_GB2312" w:cs="楷体_GB2312" w:hint="eastAsia"/>
          <w:b/>
          <w:sz w:val="28"/>
          <w:szCs w:val="28"/>
        </w:rPr>
      </w:pP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三）</w:t>
      </w:r>
      <w:r>
        <w:rPr>
          <w:rFonts w:ascii="楷体_GB2312" w:eastAsia="楷体_GB2312" w:hAnsi="楷体_GB2312" w:cs="楷体_GB2312" w:hint="eastAsia"/>
          <w:b/>
          <w:sz w:val="28"/>
          <w:szCs w:val="28"/>
        </w:rPr>
        <w:t>不同性别毕业生就业率统计分析</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届毕业生中，女生就业率为</w:t>
      </w:r>
      <w:r>
        <w:rPr>
          <w:rFonts w:ascii="楷体_GB2312" w:eastAsia="楷体_GB2312" w:hAnsi="楷体_GB2312" w:cs="楷体_GB2312" w:hint="eastAsia"/>
          <w:sz w:val="28"/>
          <w:szCs w:val="28"/>
        </w:rPr>
        <w:t>98.</w:t>
      </w:r>
      <w:r>
        <w:rPr>
          <w:rFonts w:ascii="楷体_GB2312" w:eastAsia="楷体_GB2312" w:hAnsi="楷体_GB2312" w:cs="楷体_GB2312" w:hint="eastAsia"/>
          <w:sz w:val="28"/>
          <w:szCs w:val="28"/>
        </w:rPr>
        <w:t>93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，男生就业率</w:t>
      </w:r>
      <w:r>
        <w:rPr>
          <w:rFonts w:ascii="楷体_GB2312" w:eastAsia="楷体_GB2312" w:hAnsi="楷体_GB2312" w:cs="楷体_GB2312" w:hint="eastAsia"/>
          <w:sz w:val="28"/>
          <w:szCs w:val="28"/>
        </w:rPr>
        <w:t>96.</w:t>
      </w:r>
      <w:r>
        <w:rPr>
          <w:rFonts w:ascii="楷体_GB2312" w:eastAsia="楷体_GB2312" w:hAnsi="楷体_GB2312" w:cs="楷体_GB2312" w:hint="eastAsia"/>
          <w:sz w:val="28"/>
          <w:szCs w:val="28"/>
        </w:rPr>
        <w:t>99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，女生较男生高</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个百分点。从各学部就业率统计情况看（见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1-5</w:t>
      </w:r>
      <w:r>
        <w:rPr>
          <w:rFonts w:ascii="楷体_GB2312" w:eastAsia="楷体_GB2312" w:hAnsi="楷体_GB2312" w:cs="楷体_GB2312" w:hint="eastAsia"/>
          <w:sz w:val="28"/>
          <w:szCs w:val="28"/>
        </w:rPr>
        <w:t>），人文学部、理学部、</w:t>
      </w:r>
      <w:r>
        <w:rPr>
          <w:rFonts w:ascii="楷体_GB2312" w:eastAsia="楷体_GB2312" w:hAnsi="楷体_GB2312" w:cs="楷体_GB2312" w:hint="eastAsia"/>
          <w:sz w:val="28"/>
          <w:szCs w:val="28"/>
        </w:rPr>
        <w:t>工程</w:t>
      </w:r>
      <w:r>
        <w:rPr>
          <w:rFonts w:ascii="楷体_GB2312" w:eastAsia="楷体_GB2312" w:hAnsi="楷体_GB2312" w:cs="楷体_GB2312" w:hint="eastAsia"/>
          <w:sz w:val="28"/>
          <w:szCs w:val="28"/>
        </w:rPr>
        <w:t>学部男女生就业率均为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p>
    <w:p w:rsidR="00000000" w:rsidRDefault="007546BB">
      <w:pPr>
        <w:spacing w:line="480" w:lineRule="auto"/>
        <w:ind w:firstLineChars="200" w:firstLine="420"/>
        <w:jc w:val="left"/>
        <w:rPr>
          <w:rFonts w:ascii="楷体_GB2312" w:eastAsia="楷体_GB2312" w:hAnsi="楷体_GB2312" w:cs="楷体_GB2312"/>
          <w:sz w:val="28"/>
          <w:szCs w:val="28"/>
        </w:rPr>
      </w:pPr>
      <w:r>
        <w:rPr>
          <w:noProof/>
        </w:rPr>
        <w:drawing>
          <wp:inline distT="0" distB="0" distL="0" distR="0">
            <wp:extent cx="4838700" cy="2743200"/>
            <wp:effectExtent l="4445" t="4445" r="14605" b="14605"/>
            <wp:docPr id="8"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BC53B5">
      <w:pPr>
        <w:spacing w:line="48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1-5  201</w:t>
      </w:r>
      <w:r>
        <w:rPr>
          <w:rFonts w:ascii="楷体_GB2312" w:eastAsia="楷体_GB2312" w:hAnsi="楷体_GB2312" w:cs="楷体_GB2312" w:hint="eastAsia"/>
          <w:b/>
          <w:sz w:val="28"/>
          <w:szCs w:val="28"/>
        </w:rPr>
        <w:t>6</w:t>
      </w:r>
      <w:r>
        <w:rPr>
          <w:rFonts w:ascii="楷体_GB2312" w:eastAsia="楷体_GB2312" w:hAnsi="楷体_GB2312" w:cs="楷体_GB2312" w:hint="eastAsia"/>
          <w:b/>
          <w:sz w:val="28"/>
          <w:szCs w:val="28"/>
        </w:rPr>
        <w:t>届毕业生各学部不同性别就业情况</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（四）不同生源地区毕业生就业率统计分析</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届毕业生中，江苏生源毕业生年终就业率为</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8.34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，其他省市生源毕业生就业率为</w:t>
      </w:r>
      <w:r>
        <w:rPr>
          <w:rFonts w:ascii="楷体_GB2312" w:eastAsia="楷体_GB2312" w:hAnsi="楷体_GB2312" w:cs="楷体_GB2312" w:hint="eastAsia"/>
          <w:sz w:val="28"/>
          <w:szCs w:val="28"/>
        </w:rPr>
        <w:t>98.</w:t>
      </w:r>
      <w:r>
        <w:rPr>
          <w:rFonts w:ascii="楷体_GB2312" w:eastAsia="楷体_GB2312" w:hAnsi="楷体_GB2312" w:cs="楷体_GB2312" w:hint="eastAsia"/>
          <w:sz w:val="28"/>
          <w:szCs w:val="28"/>
        </w:rPr>
        <w:t>27</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w:t>
      </w:r>
      <w:r>
        <w:rPr>
          <w:rFonts w:ascii="楷体_GB2312" w:eastAsia="楷体_GB2312" w:hAnsi="楷体_GB2312" w:cs="楷体_GB2312" w:hint="eastAsia"/>
          <w:sz w:val="28"/>
          <w:szCs w:val="28"/>
        </w:rPr>
        <w:t>安徽、福建</w:t>
      </w:r>
      <w:r>
        <w:rPr>
          <w:rFonts w:ascii="楷体_GB2312" w:eastAsia="楷体_GB2312" w:hAnsi="楷体_GB2312" w:cs="楷体_GB2312" w:hint="eastAsia"/>
          <w:sz w:val="28"/>
          <w:szCs w:val="28"/>
        </w:rPr>
        <w:t>、山东、上海生源毕业生就业率均达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1-5</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tbl>
      <w:tblPr>
        <w:tblW w:w="0" w:type="auto"/>
        <w:jc w:val="center"/>
        <w:tblInd w:w="0" w:type="dxa"/>
        <w:tblLayout w:type="fixed"/>
        <w:tblCellMar>
          <w:left w:w="0" w:type="dxa"/>
          <w:right w:w="0" w:type="dxa"/>
        </w:tblCellMar>
        <w:tblLook w:val="0000"/>
      </w:tblPr>
      <w:tblGrid>
        <w:gridCol w:w="1080"/>
        <w:gridCol w:w="1225"/>
        <w:gridCol w:w="1515"/>
        <w:gridCol w:w="1738"/>
      </w:tblGrid>
      <w:tr w:rsidR="00000000">
        <w:trPr>
          <w:trHeight w:val="300"/>
          <w:jc w:val="center"/>
        </w:trPr>
        <w:tc>
          <w:tcPr>
            <w:tcW w:w="5558" w:type="dxa"/>
            <w:gridSpan w:val="4"/>
            <w:tcBorders>
              <w:top w:val="nil"/>
              <w:left w:val="nil"/>
              <w:bottom w:val="single" w:sz="4" w:space="0" w:color="000000"/>
              <w:right w:val="nil"/>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b/>
                <w:sz w:val="28"/>
                <w:szCs w:val="28"/>
              </w:rPr>
            </w:pPr>
            <w:r>
              <w:rPr>
                <w:rFonts w:ascii="楷体_GB2312" w:eastAsia="楷体_GB2312" w:hAnsi="楷体_GB2312" w:cs="楷体_GB2312" w:hint="eastAsia"/>
                <w:b/>
                <w:kern w:val="0"/>
                <w:sz w:val="28"/>
                <w:szCs w:val="28"/>
              </w:rPr>
              <w:t>表</w:t>
            </w:r>
            <w:r>
              <w:rPr>
                <w:rFonts w:ascii="楷体_GB2312" w:eastAsia="楷体_GB2312" w:hAnsi="楷体_GB2312" w:cs="楷体_GB2312" w:hint="eastAsia"/>
                <w:b/>
                <w:kern w:val="0"/>
                <w:sz w:val="28"/>
                <w:szCs w:val="28"/>
              </w:rPr>
              <w:t xml:space="preserve">1-5  </w:t>
            </w:r>
            <w:r>
              <w:rPr>
                <w:rFonts w:ascii="楷体_GB2312" w:eastAsia="楷体_GB2312" w:hAnsi="楷体_GB2312" w:cs="楷体_GB2312" w:hint="eastAsia"/>
                <w:b/>
                <w:kern w:val="0"/>
                <w:sz w:val="28"/>
                <w:szCs w:val="28"/>
              </w:rPr>
              <w:t>各省市生源毕业生年终就业率统计表</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省份</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毕业生人数</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就业率</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p>
        </w:tc>
        <w:tc>
          <w:tcPr>
            <w:tcW w:w="1225"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江苏省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1623</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w:t>
            </w:r>
            <w:r>
              <w:rPr>
                <w:rFonts w:ascii="楷体_GB2312" w:eastAsia="楷体_GB2312" w:hAnsi="楷体_GB2312" w:cs="楷体_GB2312" w:hint="eastAsia"/>
                <w:kern w:val="0"/>
                <w:sz w:val="24"/>
                <w:szCs w:val="24"/>
              </w:rPr>
              <w:t>8.34</w:t>
            </w:r>
            <w:r>
              <w:rPr>
                <w:rFonts w:ascii="楷体_GB2312" w:eastAsia="楷体_GB2312" w:hAnsi="楷体_GB2312" w:cs="楷体_GB2312" w:hint="eastAsia"/>
                <w:kern w:val="0"/>
                <w:sz w:val="24"/>
                <w:szCs w:val="24"/>
              </w:rPr>
              <w:t>%</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2</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安徽省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57</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100</w:t>
            </w:r>
            <w:r>
              <w:rPr>
                <w:rFonts w:ascii="楷体_GB2312" w:eastAsia="楷体_GB2312" w:hAnsi="楷体_GB2312" w:cs="楷体_GB2312" w:hint="eastAsia"/>
                <w:kern w:val="0"/>
                <w:sz w:val="24"/>
                <w:szCs w:val="24"/>
              </w:rPr>
              <w:t>%</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3</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福建省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36</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100</w:t>
            </w:r>
            <w:r>
              <w:rPr>
                <w:rFonts w:ascii="楷体_GB2312" w:eastAsia="楷体_GB2312" w:hAnsi="楷体_GB2312" w:cs="楷体_GB2312" w:hint="eastAsia"/>
                <w:kern w:val="0"/>
                <w:sz w:val="24"/>
                <w:szCs w:val="24"/>
              </w:rPr>
              <w:t>%</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4</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广东省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11</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81.82</w:t>
            </w:r>
            <w:r>
              <w:rPr>
                <w:rFonts w:ascii="楷体_GB2312" w:eastAsia="楷体_GB2312" w:hAnsi="楷体_GB2312" w:cs="楷体_GB2312" w:hint="eastAsia"/>
                <w:kern w:val="0"/>
                <w:sz w:val="24"/>
                <w:szCs w:val="24"/>
              </w:rPr>
              <w:t>%</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5</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山东省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14</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100</w:t>
            </w:r>
            <w:r>
              <w:rPr>
                <w:rFonts w:ascii="楷体_GB2312" w:eastAsia="楷体_GB2312" w:hAnsi="楷体_GB2312" w:cs="楷体_GB2312" w:hint="eastAsia"/>
                <w:kern w:val="0"/>
                <w:sz w:val="24"/>
                <w:szCs w:val="24"/>
              </w:rPr>
              <w:t>%</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6</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上海市</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38</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100</w:t>
            </w:r>
            <w:r>
              <w:rPr>
                <w:rFonts w:ascii="楷体_GB2312" w:eastAsia="楷体_GB2312" w:hAnsi="楷体_GB2312" w:cs="楷体_GB2312" w:hint="eastAsia"/>
                <w:kern w:val="0"/>
                <w:sz w:val="24"/>
                <w:szCs w:val="24"/>
              </w:rPr>
              <w:t>%</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7</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浙江省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75</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97.33</w:t>
            </w:r>
            <w:r>
              <w:rPr>
                <w:rFonts w:ascii="楷体_GB2312" w:eastAsia="楷体_GB2312" w:hAnsi="楷体_GB2312" w:cs="楷体_GB2312" w:hint="eastAsia"/>
                <w:kern w:val="0"/>
                <w:sz w:val="24"/>
                <w:szCs w:val="24"/>
              </w:rPr>
              <w:t>%</w:t>
            </w:r>
          </w:p>
        </w:tc>
      </w:tr>
    </w:tbl>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江苏省各市生源毕业生的年终就业率均在</w:t>
      </w:r>
      <w:r>
        <w:rPr>
          <w:rFonts w:ascii="楷体_GB2312" w:eastAsia="楷体_GB2312" w:hAnsi="楷体_GB2312" w:cs="楷体_GB2312" w:hint="eastAsia"/>
          <w:sz w:val="28"/>
          <w:szCs w:val="28"/>
        </w:rPr>
        <w:t>86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以上，其中常州市、</w:t>
      </w:r>
      <w:r>
        <w:rPr>
          <w:rFonts w:ascii="楷体_GB2312" w:eastAsia="楷体_GB2312" w:hAnsi="楷体_GB2312" w:cs="楷体_GB2312" w:hint="eastAsia"/>
          <w:sz w:val="28"/>
          <w:szCs w:val="28"/>
        </w:rPr>
        <w:t>南京市、镇江市</w:t>
      </w:r>
      <w:r>
        <w:rPr>
          <w:rFonts w:ascii="楷体_GB2312" w:eastAsia="楷体_GB2312" w:hAnsi="楷体_GB2312" w:cs="楷体_GB2312" w:hint="eastAsia"/>
          <w:sz w:val="28"/>
          <w:szCs w:val="28"/>
        </w:rPr>
        <w:t>、扬州市生源</w:t>
      </w:r>
      <w:r>
        <w:rPr>
          <w:rFonts w:ascii="楷体_GB2312" w:eastAsia="楷体_GB2312" w:hAnsi="楷体_GB2312" w:cs="楷体_GB2312" w:hint="eastAsia"/>
          <w:sz w:val="28"/>
          <w:szCs w:val="28"/>
        </w:rPr>
        <w:t>毕业生就业率均达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1-6</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tbl>
      <w:tblPr>
        <w:tblW w:w="0" w:type="auto"/>
        <w:jc w:val="center"/>
        <w:tblInd w:w="0" w:type="dxa"/>
        <w:tblLayout w:type="fixed"/>
        <w:tblCellMar>
          <w:left w:w="0" w:type="dxa"/>
          <w:right w:w="0" w:type="dxa"/>
        </w:tblCellMar>
        <w:tblLook w:val="0000"/>
      </w:tblPr>
      <w:tblGrid>
        <w:gridCol w:w="1080"/>
        <w:gridCol w:w="1080"/>
        <w:gridCol w:w="1800"/>
        <w:gridCol w:w="1080"/>
      </w:tblGrid>
      <w:tr w:rsidR="00000000">
        <w:trPr>
          <w:trHeight w:val="375"/>
          <w:jc w:val="center"/>
        </w:trPr>
        <w:tc>
          <w:tcPr>
            <w:tcW w:w="5040" w:type="dxa"/>
            <w:gridSpan w:val="4"/>
            <w:tcBorders>
              <w:top w:val="nil"/>
              <w:left w:val="nil"/>
              <w:bottom w:val="single" w:sz="4" w:space="0" w:color="000000"/>
              <w:right w:val="nil"/>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b/>
                <w:sz w:val="28"/>
                <w:szCs w:val="28"/>
              </w:rPr>
            </w:pPr>
            <w:r>
              <w:rPr>
                <w:rFonts w:ascii="楷体_GB2312" w:eastAsia="楷体_GB2312" w:hAnsi="楷体_GB2312" w:cs="楷体_GB2312" w:hint="eastAsia"/>
                <w:b/>
                <w:kern w:val="0"/>
                <w:sz w:val="28"/>
                <w:szCs w:val="28"/>
              </w:rPr>
              <w:t>表</w:t>
            </w:r>
            <w:r>
              <w:rPr>
                <w:rFonts w:ascii="楷体_GB2312" w:eastAsia="楷体_GB2312" w:hAnsi="楷体_GB2312" w:cs="楷体_GB2312" w:hint="eastAsia"/>
                <w:b/>
                <w:kern w:val="0"/>
                <w:sz w:val="28"/>
                <w:szCs w:val="28"/>
              </w:rPr>
              <w:t xml:space="preserve">1-6  </w:t>
            </w:r>
            <w:r>
              <w:rPr>
                <w:rFonts w:ascii="楷体_GB2312" w:eastAsia="楷体_GB2312" w:hAnsi="楷体_GB2312" w:cs="楷体_GB2312" w:hint="eastAsia"/>
                <w:b/>
                <w:kern w:val="0"/>
                <w:sz w:val="28"/>
                <w:szCs w:val="28"/>
              </w:rPr>
              <w:t>江苏省各市毕业生就业率统计</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辖市</w:t>
            </w:r>
          </w:p>
        </w:tc>
        <w:tc>
          <w:tcPr>
            <w:tcW w:w="180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本科生人数</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就业率</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常州市</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59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2</w:t>
            </w:r>
          </w:p>
        </w:tc>
        <w:tc>
          <w:tcPr>
            <w:tcW w:w="108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淮安市</w:t>
            </w:r>
          </w:p>
        </w:tc>
        <w:tc>
          <w:tcPr>
            <w:tcW w:w="180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50</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86</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3</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连云港</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43</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97.67%</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4</w:t>
            </w:r>
          </w:p>
        </w:tc>
        <w:tc>
          <w:tcPr>
            <w:tcW w:w="108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南京市</w:t>
            </w:r>
          </w:p>
        </w:tc>
        <w:tc>
          <w:tcPr>
            <w:tcW w:w="180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39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5</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南通市</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567</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w:t>
            </w:r>
            <w:r>
              <w:rPr>
                <w:rFonts w:ascii="宋体" w:hAnsi="宋体" w:cs="宋体" w:hint="eastAsia"/>
                <w:kern w:val="0"/>
                <w:sz w:val="24"/>
                <w:szCs w:val="24"/>
                <w:lang/>
              </w:rPr>
              <w:t>8.41</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6</w:t>
            </w:r>
          </w:p>
        </w:tc>
        <w:tc>
          <w:tcPr>
            <w:tcW w:w="108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苏州市</w:t>
            </w:r>
          </w:p>
        </w:tc>
        <w:tc>
          <w:tcPr>
            <w:tcW w:w="180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271</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w:t>
            </w:r>
            <w:r>
              <w:rPr>
                <w:rFonts w:ascii="宋体" w:hAnsi="宋体" w:cs="宋体" w:hint="eastAsia"/>
                <w:kern w:val="0"/>
                <w:sz w:val="24"/>
                <w:szCs w:val="24"/>
                <w:lang/>
              </w:rPr>
              <w:t>7.78</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7</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宿迁市</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87</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w:t>
            </w:r>
            <w:r>
              <w:rPr>
                <w:rFonts w:ascii="宋体" w:hAnsi="宋体" w:cs="宋体" w:hint="eastAsia"/>
                <w:kern w:val="0"/>
                <w:sz w:val="24"/>
                <w:szCs w:val="24"/>
                <w:lang/>
              </w:rPr>
              <w:t>8.85</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8</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泰州市</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109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99.08</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w:t>
            </w:r>
          </w:p>
        </w:tc>
        <w:tc>
          <w:tcPr>
            <w:tcW w:w="108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无锡市</w:t>
            </w:r>
          </w:p>
        </w:tc>
        <w:tc>
          <w:tcPr>
            <w:tcW w:w="180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91</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97.8</w:t>
            </w:r>
            <w:r>
              <w:rPr>
                <w:rFonts w:ascii="宋体" w:hAnsi="宋体" w:cs="宋体" w:hint="eastAsia"/>
                <w:kern w:val="0"/>
                <w:sz w:val="24"/>
                <w:szCs w:val="24"/>
                <w:lang/>
              </w:rPr>
              <w:t>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徐州市</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52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98.08</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11</w:t>
            </w:r>
          </w:p>
        </w:tc>
        <w:tc>
          <w:tcPr>
            <w:tcW w:w="108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盐城市</w:t>
            </w:r>
          </w:p>
        </w:tc>
        <w:tc>
          <w:tcPr>
            <w:tcW w:w="180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123</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9</w:t>
            </w:r>
            <w:r>
              <w:rPr>
                <w:rFonts w:ascii="宋体" w:hAnsi="宋体" w:cs="宋体" w:hint="eastAsia"/>
                <w:kern w:val="0"/>
                <w:sz w:val="24"/>
                <w:szCs w:val="24"/>
                <w:lang/>
              </w:rPr>
              <w:t>9.19</w:t>
            </w:r>
            <w:r>
              <w:rPr>
                <w:rFonts w:ascii="宋体" w:hAnsi="宋体" w:cs="宋体" w:hint="eastAsia"/>
                <w:kern w:val="0"/>
                <w:sz w:val="24"/>
                <w:szCs w:val="24"/>
                <w:lang/>
              </w:rPr>
              <w:t>%</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12</w:t>
            </w:r>
          </w:p>
        </w:tc>
        <w:tc>
          <w:tcPr>
            <w:tcW w:w="108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扬州市</w:t>
            </w:r>
          </w:p>
        </w:tc>
        <w:tc>
          <w:tcPr>
            <w:tcW w:w="1800" w:type="dxa"/>
            <w:tcBorders>
              <w:top w:val="nil"/>
              <w:left w:val="nil"/>
              <w:bottom w:val="single" w:sz="4" w:space="0" w:color="000000"/>
              <w:right w:val="single" w:sz="4" w:space="0" w:color="000000"/>
            </w:tcBorders>
            <w:shd w:val="clear" w:color="auto" w:fill="F6F8FC"/>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84</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w:t>
            </w:r>
            <w:r>
              <w:rPr>
                <w:rFonts w:ascii="宋体" w:hAnsi="宋体" w:cs="宋体" w:hint="eastAsia"/>
                <w:kern w:val="0"/>
                <w:sz w:val="24"/>
                <w:szCs w:val="24"/>
                <w:lang/>
              </w:rPr>
              <w:t>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00000" w:rsidRDefault="00BC53B5">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13</w:t>
            </w:r>
          </w:p>
        </w:tc>
        <w:tc>
          <w:tcPr>
            <w:tcW w:w="108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镇江市</w:t>
            </w:r>
          </w:p>
        </w:tc>
        <w:tc>
          <w:tcPr>
            <w:tcW w:w="1800" w:type="dxa"/>
            <w:tcBorders>
              <w:top w:val="nil"/>
              <w:left w:val="nil"/>
              <w:bottom w:val="single" w:sz="4" w:space="0" w:color="000000"/>
              <w:right w:val="single" w:sz="4" w:space="0" w:color="000000"/>
            </w:tcBorders>
            <w:shd w:val="clear" w:color="auto" w:fill="C5D5E9"/>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Calibri" w:hAnsi="Calibri" w:cs="Calibri"/>
                <w:color w:val="000000"/>
                <w:kern w:val="0"/>
                <w:sz w:val="24"/>
                <w:szCs w:val="24"/>
                <w:lang/>
              </w:rPr>
              <w:t>48</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BC53B5">
            <w:pPr>
              <w:widowControl/>
              <w:jc w:val="center"/>
              <w:textAlignment w:val="center"/>
              <w:rPr>
                <w:rFonts w:ascii="楷体_GB2312" w:eastAsia="楷体_GB2312" w:hAnsi="楷体_GB2312" w:cs="楷体_GB2312"/>
                <w:sz w:val="24"/>
                <w:szCs w:val="24"/>
              </w:rPr>
            </w:pPr>
            <w:r>
              <w:rPr>
                <w:rFonts w:ascii="宋体" w:hAnsi="宋体" w:cs="宋体" w:hint="eastAsia"/>
                <w:kern w:val="0"/>
                <w:sz w:val="24"/>
                <w:szCs w:val="24"/>
                <w:lang/>
              </w:rPr>
              <w:t>100</w:t>
            </w:r>
            <w:r>
              <w:rPr>
                <w:rFonts w:ascii="宋体" w:hAnsi="宋体" w:cs="宋体" w:hint="eastAsia"/>
                <w:kern w:val="0"/>
                <w:sz w:val="24"/>
                <w:szCs w:val="24"/>
                <w:lang/>
              </w:rPr>
              <w:t>%</w:t>
            </w:r>
          </w:p>
        </w:tc>
      </w:tr>
    </w:tbl>
    <w:p w:rsidR="00000000" w:rsidRDefault="00BC53B5">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四、毕业流向</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32"/>
          <w:szCs w:val="32"/>
        </w:rPr>
        <w:t>（一）</w:t>
      </w:r>
      <w:r>
        <w:rPr>
          <w:rFonts w:ascii="楷体_GB2312" w:eastAsia="楷体_GB2312" w:hAnsi="楷体_GB2312" w:cs="楷体_GB2312" w:hint="eastAsia"/>
          <w:b/>
          <w:sz w:val="28"/>
          <w:szCs w:val="28"/>
        </w:rPr>
        <w:t>毕业生总体流向</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截至</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0</w:t>
      </w:r>
      <w:r>
        <w:rPr>
          <w:rFonts w:ascii="楷体_GB2312" w:eastAsia="楷体_GB2312" w:hAnsi="楷体_GB2312" w:cs="楷体_GB2312" w:hint="eastAsia"/>
          <w:sz w:val="28"/>
          <w:szCs w:val="28"/>
        </w:rPr>
        <w:t>日，全院</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854</w:t>
      </w:r>
      <w:r>
        <w:rPr>
          <w:rFonts w:ascii="楷体_GB2312" w:eastAsia="楷体_GB2312" w:hAnsi="楷体_GB2312" w:cs="楷体_GB2312" w:hint="eastAsia"/>
          <w:sz w:val="28"/>
          <w:szCs w:val="28"/>
        </w:rPr>
        <w:t>名毕业生中，</w:t>
      </w:r>
      <w:r>
        <w:rPr>
          <w:rFonts w:ascii="楷体_GB2312" w:eastAsia="楷体_GB2312" w:hAnsi="楷体_GB2312" w:cs="楷体_GB2312" w:hint="eastAsia"/>
          <w:sz w:val="28"/>
          <w:szCs w:val="28"/>
        </w:rPr>
        <w:t>协议</w:t>
      </w:r>
      <w:r>
        <w:rPr>
          <w:rFonts w:ascii="楷体_GB2312" w:eastAsia="楷体_GB2312" w:hAnsi="楷体_GB2312" w:cs="楷体_GB2312" w:hint="eastAsia"/>
          <w:sz w:val="28"/>
          <w:szCs w:val="28"/>
        </w:rPr>
        <w:t>就业率为</w:t>
      </w:r>
      <w:r>
        <w:rPr>
          <w:rFonts w:ascii="楷体_GB2312" w:eastAsia="楷体_GB2312" w:hAnsi="楷体_GB2312" w:cs="楷体_GB2312" w:hint="eastAsia"/>
          <w:sz w:val="28"/>
          <w:szCs w:val="28"/>
        </w:rPr>
        <w:lastRenderedPageBreak/>
        <w:t>91.91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，升学出国率为</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61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，灵活就业率为</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，未就业率为</w:t>
      </w:r>
      <w:r>
        <w:rPr>
          <w:rFonts w:ascii="楷体_GB2312" w:eastAsia="楷体_GB2312" w:hAnsi="楷体_GB2312" w:cs="楷体_GB2312" w:hint="eastAsia"/>
          <w:sz w:val="28"/>
          <w:szCs w:val="28"/>
        </w:rPr>
        <w:t>1.94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1-6</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3505207" cy="2114470"/>
            <wp:effectExtent l="4443" t="4464" r="14600" b="14666"/>
            <wp:docPr id="9"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BC53B5" w:rsidP="007546BB">
      <w:pPr>
        <w:spacing w:line="480" w:lineRule="auto"/>
        <w:ind w:firstLineChars="200" w:firstLine="562"/>
        <w:jc w:val="center"/>
        <w:rPr>
          <w:rFonts w:ascii="楷体_GB2312" w:eastAsia="楷体_GB2312" w:hAnsi="楷体_GB2312" w:cs="楷体_GB2312"/>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1-6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届毕业生总体流向</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协议</w:t>
      </w:r>
      <w:r>
        <w:rPr>
          <w:rFonts w:ascii="楷体_GB2312" w:eastAsia="楷体_GB2312" w:hAnsi="楷体_GB2312" w:cs="楷体_GB2312" w:hint="eastAsia"/>
          <w:b/>
          <w:sz w:val="28"/>
          <w:szCs w:val="28"/>
        </w:rPr>
        <w:t>就业情况</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届毕业生中，单位</w:t>
      </w:r>
      <w:r>
        <w:rPr>
          <w:rFonts w:ascii="楷体_GB2312" w:eastAsia="楷体_GB2312" w:hAnsi="楷体_GB2312" w:cs="楷体_GB2312" w:hint="eastAsia"/>
          <w:sz w:val="28"/>
          <w:szCs w:val="28"/>
        </w:rPr>
        <w:t>协议</w:t>
      </w:r>
      <w:r>
        <w:rPr>
          <w:rFonts w:ascii="楷体_GB2312" w:eastAsia="楷体_GB2312" w:hAnsi="楷体_GB2312" w:cs="楷体_GB2312" w:hint="eastAsia"/>
          <w:sz w:val="28"/>
          <w:szCs w:val="28"/>
        </w:rPr>
        <w:t>就业有</w:t>
      </w:r>
      <w:r>
        <w:rPr>
          <w:rFonts w:ascii="楷体_GB2312" w:eastAsia="楷体_GB2312" w:hAnsi="楷体_GB2312" w:cs="楷体_GB2312" w:hint="eastAsia"/>
          <w:sz w:val="28"/>
          <w:szCs w:val="28"/>
        </w:rPr>
        <w:t>1704</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91.</w:t>
      </w:r>
      <w:r>
        <w:rPr>
          <w:rFonts w:ascii="楷体_GB2312" w:eastAsia="楷体_GB2312" w:hAnsi="楷体_GB2312" w:cs="楷体_GB2312" w:hint="eastAsia"/>
          <w:sz w:val="28"/>
          <w:szCs w:val="28"/>
        </w:rPr>
        <w:t>91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。各学部</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届毕业生单位</w:t>
      </w:r>
      <w:r>
        <w:rPr>
          <w:rFonts w:ascii="楷体_GB2312" w:eastAsia="楷体_GB2312" w:hAnsi="楷体_GB2312" w:cs="楷体_GB2312" w:hint="eastAsia"/>
          <w:sz w:val="28"/>
          <w:szCs w:val="28"/>
        </w:rPr>
        <w:t>协议</w:t>
      </w:r>
      <w:r>
        <w:rPr>
          <w:rFonts w:ascii="楷体_GB2312" w:eastAsia="楷体_GB2312" w:hAnsi="楷体_GB2312" w:cs="楷体_GB2312" w:hint="eastAsia"/>
          <w:sz w:val="28"/>
          <w:szCs w:val="28"/>
        </w:rPr>
        <w:t>就业情况</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1-7</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7546BB">
      <w:pPr>
        <w:spacing w:line="480" w:lineRule="auto"/>
        <w:ind w:firstLineChars="200" w:firstLine="420"/>
        <w:rPr>
          <w:rFonts w:ascii="楷体_GB2312" w:eastAsia="楷体_GB2312" w:hAnsi="楷体_GB2312" w:cs="楷体_GB2312"/>
        </w:rPr>
      </w:pPr>
      <w:r>
        <w:rPr>
          <w:noProof/>
        </w:rPr>
        <w:drawing>
          <wp:inline distT="0" distB="0" distL="0" distR="0">
            <wp:extent cx="4857787" cy="2743200"/>
            <wp:effectExtent l="4436" t="4445" r="14577" b="14605"/>
            <wp:docPr id="10"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BC53B5" w:rsidP="007546BB">
      <w:pPr>
        <w:spacing w:line="480" w:lineRule="auto"/>
        <w:ind w:firstLineChars="200" w:firstLine="562"/>
        <w:jc w:val="center"/>
        <w:rPr>
          <w:rFonts w:ascii="楷体_GB2312" w:eastAsia="楷体_GB2312" w:hAnsi="楷体_GB2312" w:cs="楷体_GB2312" w:hint="eastAsia"/>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1-7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w:t>
      </w:r>
      <w:r>
        <w:rPr>
          <w:rFonts w:ascii="楷体_GB2312" w:eastAsia="楷体_GB2312" w:hAnsi="楷体_GB2312" w:cs="楷体_GB2312" w:hint="eastAsia"/>
          <w:b/>
          <w:bCs/>
          <w:sz w:val="28"/>
          <w:szCs w:val="28"/>
        </w:rPr>
        <w:t>协议</w:t>
      </w:r>
      <w:r>
        <w:rPr>
          <w:rFonts w:ascii="楷体_GB2312" w:eastAsia="楷体_GB2312" w:hAnsi="楷体_GB2312" w:cs="楷体_GB2312" w:hint="eastAsia"/>
          <w:b/>
          <w:bCs/>
          <w:sz w:val="28"/>
          <w:szCs w:val="28"/>
        </w:rPr>
        <w:t>就业率</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2</w:t>
      </w:r>
      <w:r>
        <w:rPr>
          <w:rFonts w:ascii="楷体_GB2312" w:eastAsia="楷体_GB2312" w:hAnsi="楷体_GB2312" w:cs="楷体_GB2312" w:hint="eastAsia"/>
          <w:b/>
          <w:sz w:val="28"/>
          <w:szCs w:val="28"/>
        </w:rPr>
        <w:t>、升学出国情况</w:t>
      </w:r>
    </w:p>
    <w:p w:rsidR="00000000" w:rsidRDefault="00BC53B5" w:rsidP="007546BB">
      <w:pPr>
        <w:spacing w:line="480" w:lineRule="auto"/>
        <w:ind w:firstLineChars="200" w:firstLine="562"/>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）各学</w:t>
      </w:r>
      <w:r>
        <w:rPr>
          <w:rFonts w:ascii="楷体_GB2312" w:eastAsia="楷体_GB2312" w:hAnsi="楷体_GB2312" w:cs="楷体_GB2312" w:hint="eastAsia"/>
          <w:b/>
          <w:sz w:val="28"/>
          <w:szCs w:val="28"/>
        </w:rPr>
        <w:t>部升学出国情况</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届毕业生中，毕业去向为考研升学或出国留学的有</w:t>
      </w:r>
      <w:r>
        <w:rPr>
          <w:rFonts w:ascii="楷体_GB2312" w:eastAsia="楷体_GB2312" w:hAnsi="楷体_GB2312" w:cs="楷体_GB2312" w:hint="eastAsia"/>
          <w:sz w:val="28"/>
          <w:szCs w:val="28"/>
        </w:rPr>
        <w:t>67</w:t>
      </w:r>
      <w:r>
        <w:rPr>
          <w:rFonts w:ascii="楷体_GB2312" w:eastAsia="楷体_GB2312" w:hAnsi="楷体_GB2312" w:cs="楷体_GB2312" w:hint="eastAsia"/>
          <w:sz w:val="28"/>
          <w:szCs w:val="28"/>
        </w:rPr>
        <w:t>人，升学出国率为</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61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考研升学的有</w:t>
      </w:r>
      <w:r>
        <w:rPr>
          <w:rFonts w:ascii="楷体_GB2312" w:eastAsia="楷体_GB2312" w:hAnsi="楷体_GB2312" w:cs="楷体_GB2312" w:hint="eastAsia"/>
          <w:sz w:val="28"/>
          <w:szCs w:val="28"/>
        </w:rPr>
        <w:t>65</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占比为</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51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出国留学的有</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占比为</w:t>
      </w:r>
      <w:r>
        <w:rPr>
          <w:rFonts w:ascii="楷体_GB2312" w:eastAsia="楷体_GB2312" w:hAnsi="楷体_GB2312" w:cs="楷体_GB2312" w:hint="eastAsia"/>
          <w:sz w:val="28"/>
          <w:szCs w:val="28"/>
        </w:rPr>
        <w:t>0.</w:t>
      </w:r>
      <w:r>
        <w:rPr>
          <w:rFonts w:ascii="楷体_GB2312" w:eastAsia="楷体_GB2312" w:hAnsi="楷体_GB2312" w:cs="楷体_GB2312" w:hint="eastAsia"/>
          <w:sz w:val="28"/>
          <w:szCs w:val="28"/>
        </w:rPr>
        <w:t>11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。各学部升学出国情况见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1-8</w:t>
      </w:r>
      <w:r>
        <w:rPr>
          <w:rFonts w:ascii="楷体_GB2312" w:eastAsia="楷体_GB2312" w:hAnsi="楷体_GB2312" w:cs="楷体_GB2312" w:hint="eastAsia"/>
          <w:sz w:val="28"/>
          <w:szCs w:val="28"/>
        </w:rPr>
        <w:t>。</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1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BC53B5" w:rsidP="007546B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1-8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届毕业生升学出国率</w:t>
      </w:r>
    </w:p>
    <w:p w:rsidR="00000000" w:rsidRDefault="00BC53B5" w:rsidP="007546BB">
      <w:pPr>
        <w:spacing w:line="480" w:lineRule="auto"/>
        <w:ind w:firstLineChars="196" w:firstLine="551"/>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2</w:t>
      </w:r>
      <w:r>
        <w:rPr>
          <w:rFonts w:ascii="楷体_GB2312" w:eastAsia="楷体_GB2312" w:hAnsi="楷体_GB2312" w:cs="楷体_GB2312" w:hint="eastAsia"/>
          <w:b/>
          <w:sz w:val="28"/>
          <w:szCs w:val="28"/>
        </w:rPr>
        <w:t>）升学出国专业与原专业的一致性</w:t>
      </w:r>
    </w:p>
    <w:p w:rsidR="00000000" w:rsidRDefault="00BC53B5">
      <w:pPr>
        <w:spacing w:line="48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我院针对升学出国的</w:t>
      </w:r>
      <w:r>
        <w:rPr>
          <w:rFonts w:ascii="楷体_GB2312" w:eastAsia="楷体_GB2312" w:hAnsi="楷体_GB2312" w:cs="楷体_GB2312" w:hint="eastAsia"/>
          <w:sz w:val="28"/>
          <w:szCs w:val="28"/>
        </w:rPr>
        <w:t>67</w:t>
      </w:r>
      <w:r>
        <w:rPr>
          <w:rFonts w:ascii="楷体_GB2312" w:eastAsia="楷体_GB2312" w:hAnsi="楷体_GB2312" w:cs="楷体_GB2312" w:hint="eastAsia"/>
          <w:sz w:val="28"/>
          <w:szCs w:val="28"/>
        </w:rPr>
        <w:t>名学生进行调查</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选择升学出国的毕业生主要集中在临床医学专业，共</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人，占升学出国总人数的</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4.33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。所学专业与原专业一致或相近、相关者，占比为</w:t>
      </w:r>
      <w:r>
        <w:rPr>
          <w:rFonts w:ascii="楷体_GB2312" w:eastAsia="楷体_GB2312" w:hAnsi="楷体_GB2312" w:cs="楷体_GB2312" w:hint="eastAsia"/>
          <w:sz w:val="28"/>
          <w:szCs w:val="28"/>
        </w:rPr>
        <w:t>8</w:t>
      </w:r>
      <w:r>
        <w:rPr>
          <w:rFonts w:ascii="楷体_GB2312" w:eastAsia="楷体_GB2312" w:hAnsi="楷体_GB2312" w:cs="楷体_GB2312" w:hint="eastAsia"/>
          <w:sz w:val="28"/>
          <w:szCs w:val="28"/>
        </w:rPr>
        <w:t>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，表明大部分毕业生是在本专业或相近</w:t>
      </w:r>
      <w:r>
        <w:rPr>
          <w:rFonts w:ascii="楷体_GB2312" w:eastAsia="楷体_GB2312" w:hAnsi="楷体_GB2312" w:cs="楷体_GB2312" w:hint="eastAsia"/>
          <w:sz w:val="28"/>
          <w:szCs w:val="28"/>
        </w:rPr>
        <w:t>、相关专业继续深造（见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1-9</w:t>
      </w:r>
      <w:r>
        <w:rPr>
          <w:rFonts w:ascii="楷体_GB2312" w:eastAsia="楷体_GB2312" w:hAnsi="楷体_GB2312" w:cs="楷体_GB2312" w:hint="eastAsia"/>
          <w:sz w:val="28"/>
          <w:szCs w:val="28"/>
        </w:rPr>
        <w:t>）。</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1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BC53B5" w:rsidP="007546B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lastRenderedPageBreak/>
        <w:t xml:space="preserve"> </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1-9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届毕业生升学出国专业与原专业一致性情况</w:t>
      </w:r>
    </w:p>
    <w:p w:rsidR="00000000" w:rsidRDefault="00BC53B5" w:rsidP="007546BB">
      <w:pPr>
        <w:spacing w:line="480" w:lineRule="auto"/>
        <w:ind w:firstLineChars="196" w:firstLine="551"/>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3</w:t>
      </w:r>
      <w:r>
        <w:rPr>
          <w:rFonts w:ascii="楷体_GB2312" w:eastAsia="楷体_GB2312" w:hAnsi="楷体_GB2312" w:cs="楷体_GB2312" w:hint="eastAsia"/>
          <w:b/>
          <w:sz w:val="28"/>
          <w:szCs w:val="28"/>
        </w:rPr>
        <w:t>）升学原因</w:t>
      </w:r>
    </w:p>
    <w:p w:rsidR="00000000" w:rsidRDefault="00BC53B5">
      <w:pPr>
        <w:spacing w:line="48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届毕业生选择升学出国的主要原因是“站在更高的求职点上”，占比</w:t>
      </w:r>
      <w:r>
        <w:rPr>
          <w:rFonts w:ascii="楷体_GB2312" w:eastAsia="楷体_GB2312" w:hAnsi="楷体_GB2312" w:cs="楷体_GB2312" w:hint="eastAsia"/>
          <w:sz w:val="28"/>
          <w:szCs w:val="28"/>
        </w:rPr>
        <w:t>51.60%</w:t>
      </w:r>
      <w:r>
        <w:rPr>
          <w:rFonts w:ascii="楷体_GB2312" w:eastAsia="楷体_GB2312" w:hAnsi="楷体_GB2312" w:cs="楷体_GB2312" w:hint="eastAsia"/>
          <w:sz w:val="28"/>
          <w:szCs w:val="28"/>
        </w:rPr>
        <w:t>；其次是“提升学历”和“提升综合能力”，占比分别为</w:t>
      </w:r>
      <w:r>
        <w:rPr>
          <w:rFonts w:ascii="楷体_GB2312" w:eastAsia="楷体_GB2312" w:hAnsi="楷体_GB2312" w:cs="楷体_GB2312" w:hint="eastAsia"/>
          <w:sz w:val="28"/>
          <w:szCs w:val="28"/>
        </w:rPr>
        <w:t>25.42%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22.98%</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1-10</w:t>
      </w:r>
      <w:r>
        <w:rPr>
          <w:rFonts w:ascii="楷体_GB2312" w:eastAsia="楷体_GB2312" w:hAnsi="楷体_GB2312" w:cs="楷体_GB2312" w:hint="eastAsia"/>
          <w:sz w:val="28"/>
          <w:szCs w:val="28"/>
        </w:rPr>
        <w:t>）。</w:t>
      </w:r>
    </w:p>
    <w:p w:rsidR="00000000" w:rsidRDefault="00BC53B5">
      <w:pPr>
        <w:spacing w:line="480" w:lineRule="auto"/>
        <w:ind w:firstLineChars="200" w:firstLine="420"/>
        <w:jc w:val="center"/>
        <w:rPr>
          <w:rFonts w:ascii="楷体_GB2312" w:eastAsia="楷体_GB2312" w:hAnsi="楷体_GB2312" w:cs="楷体_GB2312"/>
          <w:sz w:val="28"/>
          <w:szCs w:val="28"/>
        </w:rPr>
      </w:pPr>
      <w:r>
        <w:object w:dxaOrig="7233" w:dyaOrig="4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 o:spid="_x0000_i1025" type="#_x0000_t75" style="width:271.5pt;height:157.5pt;mso-wrap-style:square;mso-position-horizontal-relative:page;mso-position-vertical-relative:page" o:ole="" o:gfxdata="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">
            <v:fill o:detectmouseclick="t"/>
            <v:imagedata r:id="rId15" o:title=""/>
            <o:lock v:ext="edit" aspectratio="f"/>
          </v:shape>
          <o:OLEObject Type="Embed" ProgID="Excel.Sheet.8" ShapeID="图表 1" DrawAspect="Content" ObjectID="_1598980184" r:id="rId16">
            <o:FieldCodes>\* MERGEFORMAT</o:FieldCodes>
          </o:OLEObject>
        </w:object>
      </w:r>
    </w:p>
    <w:p w:rsidR="00000000" w:rsidRDefault="00BC53B5" w:rsidP="007546B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1-10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届毕业生升学出国原因</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3</w:t>
      </w:r>
      <w:r>
        <w:rPr>
          <w:rFonts w:ascii="楷体_GB2312" w:eastAsia="楷体_GB2312" w:hAnsi="楷体_GB2312" w:cs="楷体_GB2312" w:hint="eastAsia"/>
          <w:b/>
          <w:sz w:val="28"/>
          <w:szCs w:val="28"/>
        </w:rPr>
        <w:t>、灵活就业情况</w:t>
      </w:r>
    </w:p>
    <w:p w:rsidR="00000000" w:rsidRDefault="00BC53B5">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届已就业的毕业生中，灵活就业者</w:t>
      </w:r>
      <w:r>
        <w:rPr>
          <w:rFonts w:ascii="楷体_GB2312" w:eastAsia="楷体_GB2312" w:hAnsi="楷体_GB2312" w:cs="楷体_GB2312" w:hint="eastAsia"/>
          <w:sz w:val="28"/>
          <w:szCs w:val="28"/>
        </w:rPr>
        <w:t>47</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，大部分是医学部学生。主要原因是医学生在通过当地统一考试、并试用期满后，才能签定就业协议或者合同。</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4</w:t>
      </w:r>
      <w:r>
        <w:rPr>
          <w:rFonts w:ascii="楷体_GB2312" w:eastAsia="楷体_GB2312" w:hAnsi="楷体_GB2312" w:cs="楷体_GB2312" w:hint="eastAsia"/>
          <w:b/>
          <w:sz w:val="28"/>
          <w:szCs w:val="28"/>
        </w:rPr>
        <w:t>、未就业情况</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未就业包括“待就业”“不就业拟升学”和“其他暂不就业”三种情况。截至</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0</w:t>
      </w:r>
      <w:r>
        <w:rPr>
          <w:rFonts w:ascii="楷体_GB2312" w:eastAsia="楷体_GB2312" w:hAnsi="楷体_GB2312" w:cs="楷体_GB2312" w:hint="eastAsia"/>
          <w:sz w:val="28"/>
          <w:szCs w:val="28"/>
        </w:rPr>
        <w:t>日，</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届毕业生未就业人数为</w:t>
      </w:r>
      <w:r>
        <w:rPr>
          <w:rFonts w:ascii="楷体_GB2312" w:eastAsia="楷体_GB2312" w:hAnsi="楷体_GB2312" w:cs="楷体_GB2312" w:hint="eastAsia"/>
          <w:sz w:val="28"/>
          <w:szCs w:val="28"/>
        </w:rPr>
        <w:t>36</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占毕业生总数的</w:t>
      </w:r>
      <w:r>
        <w:rPr>
          <w:rFonts w:ascii="楷体_GB2312" w:eastAsia="楷体_GB2312" w:hAnsi="楷体_GB2312" w:cs="楷体_GB2312" w:hint="eastAsia"/>
          <w:sz w:val="28"/>
          <w:szCs w:val="28"/>
        </w:rPr>
        <w:t>1.94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，各学部未就业情况（见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p>
    <w:p w:rsidR="00000000" w:rsidRDefault="007546BB">
      <w:pPr>
        <w:spacing w:line="480" w:lineRule="auto"/>
        <w:jc w:val="center"/>
        <w:rPr>
          <w:rFonts w:ascii="楷体_GB2312" w:eastAsia="楷体_GB2312" w:hAnsi="楷体_GB2312" w:cs="楷体_GB2312"/>
          <w:sz w:val="28"/>
          <w:szCs w:val="28"/>
        </w:rPr>
      </w:pPr>
      <w:r>
        <w:rPr>
          <w:noProof/>
        </w:rPr>
        <w:lastRenderedPageBreak/>
        <w:drawing>
          <wp:inline distT="0" distB="0" distL="0" distR="0">
            <wp:extent cx="4571997" cy="2743204"/>
            <wp:effectExtent l="4446" t="4444" r="14607" b="14602"/>
            <wp:docPr id="14"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BC53B5" w:rsidP="007546B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1-11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届毕业生未就业率</w:t>
      </w:r>
    </w:p>
    <w:p w:rsidR="00000000" w:rsidRDefault="00BC53B5">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（二）不同性别毕业生的毕业流向</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届毕业生中，女生单位就业率、升学出国率高于男生，而灵活就业率、未就业率低于男生（见</w:t>
      </w: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1-12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15"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BC53B5" w:rsidP="007546BB">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12  201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届不同性别毕业生的毕业流向</w:t>
      </w:r>
    </w:p>
    <w:p w:rsidR="00000000" w:rsidRDefault="00BC53B5">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五、就业分布</w:t>
      </w:r>
    </w:p>
    <w:p w:rsidR="00000000" w:rsidRDefault="00BC53B5">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（一）毕业生就业单位统计</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届毕业生就业单位的类型（见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1-14</w:t>
      </w:r>
      <w:r>
        <w:rPr>
          <w:rFonts w:ascii="楷体_GB2312" w:eastAsia="楷体_GB2312" w:hAnsi="楷体_GB2312" w:cs="楷体_GB2312" w:hint="eastAsia"/>
          <w:sz w:val="28"/>
          <w:szCs w:val="28"/>
        </w:rPr>
        <w:t>）涵盖了医疗卫</w:t>
      </w:r>
      <w:r>
        <w:rPr>
          <w:rFonts w:ascii="楷体_GB2312" w:eastAsia="楷体_GB2312" w:hAnsi="楷体_GB2312" w:cs="楷体_GB2312" w:hint="eastAsia"/>
          <w:sz w:val="28"/>
          <w:szCs w:val="28"/>
        </w:rPr>
        <w:lastRenderedPageBreak/>
        <w:t>生单位、</w:t>
      </w:r>
      <w:r>
        <w:rPr>
          <w:rFonts w:ascii="楷体_GB2312" w:eastAsia="楷体_GB2312" w:hAnsi="楷体_GB2312" w:cs="楷体_GB2312" w:hint="eastAsia"/>
          <w:sz w:val="28"/>
          <w:szCs w:val="28"/>
        </w:rPr>
        <w:t>港澳台及外</w:t>
      </w:r>
      <w:r>
        <w:rPr>
          <w:rFonts w:ascii="楷体_GB2312" w:eastAsia="楷体_GB2312" w:hAnsi="楷体_GB2312" w:cs="楷体_GB2312" w:hint="eastAsia"/>
          <w:sz w:val="28"/>
          <w:szCs w:val="28"/>
        </w:rPr>
        <w:t>资企业、国有</w:t>
      </w:r>
      <w:r>
        <w:rPr>
          <w:rFonts w:ascii="楷体_GB2312" w:eastAsia="楷体_GB2312" w:hAnsi="楷体_GB2312" w:cs="楷体_GB2312" w:hint="eastAsia"/>
          <w:sz w:val="28"/>
          <w:szCs w:val="28"/>
        </w:rPr>
        <w:t>及集团</w:t>
      </w:r>
      <w:r>
        <w:rPr>
          <w:rFonts w:ascii="楷体_GB2312" w:eastAsia="楷体_GB2312" w:hAnsi="楷体_GB2312" w:cs="楷体_GB2312" w:hint="eastAsia"/>
          <w:sz w:val="28"/>
          <w:szCs w:val="28"/>
        </w:rPr>
        <w:t>企业、国家、地方基层组织、机关、中初等教育单位、高等教育单位、</w:t>
      </w:r>
      <w:r>
        <w:rPr>
          <w:rFonts w:ascii="楷体_GB2312" w:eastAsia="楷体_GB2312" w:hAnsi="楷体_GB2312" w:cs="楷体_GB2312" w:hint="eastAsia"/>
          <w:sz w:val="28"/>
          <w:szCs w:val="28"/>
        </w:rPr>
        <w:t>民营企业</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非盈利组织</w:t>
      </w:r>
      <w:r>
        <w:rPr>
          <w:rFonts w:ascii="楷体_GB2312" w:eastAsia="楷体_GB2312" w:hAnsi="楷体_GB2312" w:cs="楷体_GB2312" w:hint="eastAsia"/>
          <w:sz w:val="28"/>
          <w:szCs w:val="28"/>
        </w:rPr>
        <w:t>。其中，除其他企业外，毕业生就业单位的主要类型是医疗卫生单位，体现了我院办学的医学特色及优势。</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571750"/>
            <wp:effectExtent l="4445" t="4445" r="14605" b="14605"/>
            <wp:docPr id="16"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BC53B5">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1-14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届毕业生就业单位类型</w:t>
      </w:r>
    </w:p>
    <w:p w:rsidR="00000000" w:rsidRDefault="00BC53B5">
      <w:pPr>
        <w:numPr>
          <w:ilvl w:val="0"/>
          <w:numId w:val="4"/>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毕业生就业行业统计</w:t>
      </w:r>
    </w:p>
    <w:p w:rsidR="00000000" w:rsidRDefault="00BC53B5">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从毕业生就业行业分布情况看，“卫生和社会工作”是毕业生就业所属行业的主要流向</w:t>
      </w:r>
      <w:r>
        <w:rPr>
          <w:rFonts w:ascii="楷体_GB2312" w:eastAsia="楷体_GB2312" w:hAnsi="楷体_GB2312" w:cs="楷体_GB2312" w:hint="eastAsia"/>
          <w:sz w:val="28"/>
          <w:szCs w:val="28"/>
        </w:rPr>
        <w:t>，占比为</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5.67</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，这与我院的专业设置相匹配，与我院医学类学生占比相符；其次，为制造业，占比</w:t>
      </w:r>
      <w:r>
        <w:rPr>
          <w:rFonts w:ascii="楷体_GB2312" w:eastAsia="楷体_GB2312" w:hAnsi="楷体_GB2312" w:cs="楷体_GB2312" w:hint="eastAsia"/>
          <w:sz w:val="28"/>
          <w:szCs w:val="28"/>
        </w:rPr>
        <w:t>21.84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1-15</w:t>
      </w:r>
      <w:r>
        <w:rPr>
          <w:rFonts w:ascii="楷体_GB2312" w:eastAsia="楷体_GB2312" w:hAnsi="楷体_GB2312" w:cs="楷体_GB2312" w:hint="eastAsia"/>
          <w:sz w:val="28"/>
          <w:szCs w:val="28"/>
        </w:rPr>
        <w:t>）。</w:t>
      </w:r>
    </w:p>
    <w:p w:rsidR="00000000" w:rsidRDefault="00BC53B5">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1-15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届毕业生就业单位所属行业分布</w:t>
      </w:r>
    </w:p>
    <w:p w:rsidR="00000000" w:rsidRDefault="00BC53B5">
      <w:pPr>
        <w:spacing w:line="480" w:lineRule="auto"/>
        <w:jc w:val="center"/>
        <w:rPr>
          <w:rFonts w:ascii="楷体_GB2312" w:eastAsia="楷体_GB2312" w:hAnsi="楷体_GB2312" w:cs="楷体_GB2312" w:hint="eastAsia"/>
          <w:b/>
          <w:sz w:val="28"/>
          <w:szCs w:val="28"/>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7546BB">
      <w:pPr>
        <w:spacing w:line="480" w:lineRule="auto"/>
        <w:jc w:val="center"/>
        <w:rPr>
          <w:rFonts w:ascii="楷体_GB2312" w:eastAsia="楷体_GB2312" w:hAnsi="楷体_GB2312" w:cs="楷体_GB2312" w:hint="eastAsia"/>
          <w:b/>
          <w:bCs/>
          <w:sz w:val="36"/>
          <w:szCs w:val="36"/>
        </w:rPr>
      </w:pPr>
      <w:r>
        <w:rPr>
          <w:noProof/>
        </w:rPr>
        <w:drawing>
          <wp:inline distT="0" distB="0" distL="0" distR="0">
            <wp:extent cx="4572000" cy="3467148"/>
            <wp:effectExtent l="4445" t="4434" r="14605" b="14568"/>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b/>
          <w:bCs/>
          <w:sz w:val="36"/>
          <w:szCs w:val="36"/>
        </w:rPr>
      </w:pPr>
    </w:p>
    <w:p w:rsidR="00000000" w:rsidRDefault="00BC53B5">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t>第二部分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毕业生就业工作举措</w:t>
      </w:r>
    </w:p>
    <w:p w:rsidR="00000000" w:rsidRDefault="00BC53B5">
      <w:pPr>
        <w:pStyle w:val="a8"/>
        <w:spacing w:line="480" w:lineRule="auto"/>
        <w:ind w:firstLineChars="0" w:firstLine="0"/>
        <w:rPr>
          <w:rFonts w:ascii="宋体" w:hAnsi="宋体" w:cs="宋体" w:hint="eastAsia"/>
          <w:b/>
          <w:bCs/>
          <w:sz w:val="28"/>
          <w:szCs w:val="28"/>
        </w:rPr>
      </w:pPr>
      <w:r>
        <w:rPr>
          <w:rFonts w:ascii="宋体" w:hAnsi="宋体" w:cs="宋体" w:hint="eastAsia"/>
          <w:b/>
          <w:bCs/>
          <w:sz w:val="28"/>
          <w:szCs w:val="28"/>
        </w:rPr>
        <w:t>一、</w:t>
      </w:r>
      <w:r>
        <w:rPr>
          <w:rFonts w:ascii="宋体" w:hAnsi="宋体" w:cs="宋体" w:hint="eastAsia"/>
          <w:b/>
          <w:bCs/>
          <w:sz w:val="28"/>
          <w:szCs w:val="28"/>
        </w:rPr>
        <w:t>高度重视、通力协作，开拓就创业工作新局面</w:t>
      </w:r>
    </w:p>
    <w:p w:rsidR="00000000" w:rsidRDefault="00BC53B5" w:rsidP="007546BB">
      <w:pPr>
        <w:pStyle w:val="a8"/>
        <w:spacing w:line="480" w:lineRule="auto"/>
        <w:rPr>
          <w:rFonts w:ascii="宋体" w:hAnsi="宋体" w:cs="宋体" w:hint="eastAsia"/>
          <w:szCs w:val="21"/>
        </w:rPr>
      </w:pPr>
      <w:r>
        <w:rPr>
          <w:rFonts w:ascii="宋体" w:hAnsi="宋体" w:cs="宋体" w:hint="eastAsia"/>
          <w:kern w:val="0"/>
          <w:szCs w:val="21"/>
        </w:rPr>
        <w:t>毕业生就业创业工作一直是学院的“一把手工程”，</w:t>
      </w:r>
      <w:r>
        <w:rPr>
          <w:rFonts w:ascii="宋体" w:hAnsi="宋体" w:cs="宋体" w:hint="eastAsia"/>
          <w:kern w:val="0"/>
          <w:szCs w:val="21"/>
        </w:rPr>
        <w:t>党委书记和院长担任</w:t>
      </w:r>
      <w:r>
        <w:rPr>
          <w:rFonts w:ascii="宋体" w:hAnsi="宋体" w:cs="宋体" w:hint="eastAsia"/>
          <w:kern w:val="0"/>
          <w:szCs w:val="21"/>
        </w:rPr>
        <w:t>就创业工作小组</w:t>
      </w:r>
      <w:r>
        <w:rPr>
          <w:rFonts w:ascii="宋体" w:hAnsi="宋体" w:cs="宋体" w:hint="eastAsia"/>
          <w:kern w:val="0"/>
          <w:szCs w:val="21"/>
        </w:rPr>
        <w:t>组长，责任</w:t>
      </w:r>
      <w:r>
        <w:rPr>
          <w:rFonts w:ascii="宋体" w:hAnsi="宋体" w:cs="宋体" w:hint="eastAsia"/>
          <w:kern w:val="0"/>
          <w:szCs w:val="21"/>
        </w:rPr>
        <w:t>分级</w:t>
      </w:r>
      <w:r>
        <w:rPr>
          <w:rFonts w:ascii="宋体" w:hAnsi="宋体" w:cs="宋体" w:hint="eastAsia"/>
          <w:kern w:val="0"/>
          <w:szCs w:val="21"/>
        </w:rPr>
        <w:t>落实到学院各部门</w:t>
      </w:r>
      <w:r>
        <w:rPr>
          <w:rFonts w:ascii="宋体" w:hAnsi="宋体" w:cs="宋体" w:hint="eastAsia"/>
          <w:kern w:val="0"/>
          <w:szCs w:val="21"/>
        </w:rPr>
        <w:t>。</w:t>
      </w:r>
      <w:r>
        <w:rPr>
          <w:rFonts w:ascii="宋体" w:hAnsi="宋体" w:cs="宋体" w:hint="eastAsia"/>
          <w:kern w:val="0"/>
          <w:szCs w:val="21"/>
        </w:rPr>
        <w:t>就创业工作作为学院例会永恒的议题，不断强化“就创业工作人人有责”的理念。</w:t>
      </w:r>
      <w:r>
        <w:rPr>
          <w:rFonts w:ascii="宋体" w:hAnsi="宋体" w:cs="宋体" w:hint="eastAsia"/>
          <w:kern w:val="0"/>
          <w:szCs w:val="21"/>
        </w:rPr>
        <w:t>学院将毕业生就</w:t>
      </w:r>
      <w:r>
        <w:rPr>
          <w:rFonts w:ascii="宋体" w:hAnsi="宋体" w:cs="宋体" w:hint="eastAsia"/>
          <w:kern w:val="0"/>
          <w:szCs w:val="21"/>
        </w:rPr>
        <w:t>创业</w:t>
      </w:r>
      <w:r>
        <w:rPr>
          <w:rFonts w:ascii="宋体" w:hAnsi="宋体" w:cs="宋体" w:hint="eastAsia"/>
          <w:kern w:val="0"/>
          <w:szCs w:val="21"/>
        </w:rPr>
        <w:t>工作</w:t>
      </w:r>
      <w:r>
        <w:rPr>
          <w:rFonts w:ascii="宋体" w:hAnsi="宋体" w:cs="宋体" w:hint="eastAsia"/>
          <w:kern w:val="0"/>
          <w:szCs w:val="21"/>
        </w:rPr>
        <w:t>列为</w:t>
      </w:r>
      <w:r>
        <w:rPr>
          <w:rFonts w:ascii="宋体" w:hAnsi="宋体" w:cs="宋体" w:hint="eastAsia"/>
          <w:kern w:val="0"/>
          <w:szCs w:val="21"/>
        </w:rPr>
        <w:t>年度目标考核的主要指标，</w:t>
      </w:r>
      <w:r>
        <w:rPr>
          <w:rFonts w:ascii="宋体" w:hAnsi="宋体" w:cs="宋体" w:hint="eastAsia"/>
          <w:kern w:val="0"/>
          <w:szCs w:val="21"/>
        </w:rPr>
        <w:t>并</w:t>
      </w:r>
      <w:r>
        <w:rPr>
          <w:rFonts w:ascii="宋体" w:hAnsi="宋体" w:cs="宋体" w:hint="eastAsia"/>
          <w:kern w:val="0"/>
          <w:szCs w:val="21"/>
        </w:rPr>
        <w:t>制定</w:t>
      </w:r>
      <w:r>
        <w:rPr>
          <w:rFonts w:ascii="宋体" w:hAnsi="宋体" w:cs="宋体" w:hint="eastAsia"/>
          <w:kern w:val="0"/>
          <w:szCs w:val="21"/>
        </w:rPr>
        <w:t>了</w:t>
      </w:r>
      <w:r>
        <w:rPr>
          <w:rFonts w:ascii="宋体" w:hAnsi="宋体" w:cs="宋体" w:hint="eastAsia"/>
          <w:kern w:val="0"/>
          <w:szCs w:val="21"/>
        </w:rPr>
        <w:t>《南通大学杏林学院毕业生就业</w:t>
      </w:r>
      <w:r>
        <w:rPr>
          <w:rFonts w:ascii="宋体" w:hAnsi="宋体" w:cs="宋体" w:hint="eastAsia"/>
          <w:kern w:val="0"/>
          <w:szCs w:val="21"/>
        </w:rPr>
        <w:t>创业</w:t>
      </w:r>
      <w:r>
        <w:rPr>
          <w:rFonts w:ascii="宋体" w:hAnsi="宋体" w:cs="宋体" w:hint="eastAsia"/>
          <w:kern w:val="0"/>
          <w:szCs w:val="21"/>
        </w:rPr>
        <w:t>工作奖励办法》，</w:t>
      </w:r>
      <w:r>
        <w:rPr>
          <w:rFonts w:ascii="宋体" w:hAnsi="宋体" w:cs="宋体" w:hint="eastAsia"/>
          <w:kern w:val="0"/>
          <w:szCs w:val="21"/>
        </w:rPr>
        <w:t>极大地提升了全院教师的主动性和积极性，在全院教师的共同努力下，获得“南通大学</w:t>
      </w:r>
      <w:r>
        <w:rPr>
          <w:rFonts w:ascii="宋体" w:hAnsi="宋体" w:cs="宋体" w:hint="eastAsia"/>
          <w:kern w:val="0"/>
          <w:szCs w:val="21"/>
        </w:rPr>
        <w:t>2015</w:t>
      </w:r>
      <w:r>
        <w:rPr>
          <w:rFonts w:ascii="宋体" w:hAnsi="宋体" w:cs="宋体" w:hint="eastAsia"/>
          <w:kern w:val="0"/>
          <w:szCs w:val="21"/>
        </w:rPr>
        <w:t>年毕业生就业工作先进集体”称号。</w:t>
      </w:r>
    </w:p>
    <w:p w:rsidR="00000000" w:rsidRDefault="00BC53B5">
      <w:pPr>
        <w:pStyle w:val="a8"/>
        <w:spacing w:line="480" w:lineRule="auto"/>
        <w:ind w:firstLineChars="0" w:firstLine="0"/>
        <w:rPr>
          <w:rFonts w:ascii="宋体" w:hAnsi="宋体" w:cs="宋体" w:hint="eastAsia"/>
          <w:b/>
          <w:bCs/>
          <w:sz w:val="28"/>
          <w:szCs w:val="28"/>
        </w:rPr>
      </w:pPr>
      <w:r>
        <w:rPr>
          <w:rFonts w:ascii="宋体" w:hAnsi="宋体" w:cs="宋体" w:hint="eastAsia"/>
          <w:b/>
          <w:bCs/>
          <w:sz w:val="28"/>
          <w:szCs w:val="28"/>
        </w:rPr>
        <w:t>二、</w:t>
      </w:r>
      <w:r>
        <w:rPr>
          <w:rFonts w:ascii="宋体" w:hAnsi="宋体" w:cs="宋体" w:hint="eastAsia"/>
          <w:b/>
          <w:bCs/>
          <w:sz w:val="28"/>
          <w:szCs w:val="28"/>
        </w:rPr>
        <w:t>开拓创新、全程指导，组建就创业教育新团队</w:t>
      </w:r>
    </w:p>
    <w:p w:rsidR="00000000" w:rsidRDefault="00BC53B5" w:rsidP="007546BB">
      <w:pPr>
        <w:pStyle w:val="a8"/>
        <w:spacing w:line="480" w:lineRule="auto"/>
        <w:rPr>
          <w:rFonts w:ascii="宋体" w:hAnsi="宋体" w:cs="宋体" w:hint="eastAsia"/>
          <w:kern w:val="0"/>
          <w:sz w:val="20"/>
          <w:szCs w:val="20"/>
        </w:rPr>
      </w:pPr>
      <w:r>
        <w:rPr>
          <w:rFonts w:ascii="宋体" w:hAnsi="宋体" w:cs="宋体" w:hint="eastAsia"/>
          <w:kern w:val="0"/>
          <w:szCs w:val="21"/>
        </w:rPr>
        <w:t>学院</w:t>
      </w:r>
      <w:r>
        <w:rPr>
          <w:rFonts w:ascii="宋体" w:hAnsi="宋体" w:cs="宋体" w:hint="eastAsia"/>
          <w:kern w:val="0"/>
          <w:szCs w:val="21"/>
        </w:rPr>
        <w:t>秉承</w:t>
      </w:r>
      <w:r>
        <w:rPr>
          <w:rFonts w:ascii="宋体" w:hAnsi="宋体" w:cs="宋体" w:hint="eastAsia"/>
          <w:kern w:val="0"/>
          <w:szCs w:val="21"/>
        </w:rPr>
        <w:t>以课程教学为主</w:t>
      </w:r>
      <w:r>
        <w:rPr>
          <w:rFonts w:ascii="宋体" w:hAnsi="宋体" w:cs="宋体" w:hint="eastAsia"/>
          <w:kern w:val="0"/>
          <w:szCs w:val="21"/>
        </w:rPr>
        <w:t>、</w:t>
      </w:r>
      <w:r>
        <w:rPr>
          <w:rFonts w:ascii="宋体" w:hAnsi="宋体" w:cs="宋体" w:hint="eastAsia"/>
          <w:kern w:val="0"/>
          <w:szCs w:val="21"/>
        </w:rPr>
        <w:t>课外</w:t>
      </w:r>
      <w:r>
        <w:rPr>
          <w:rFonts w:ascii="宋体" w:hAnsi="宋体" w:cs="宋体" w:hint="eastAsia"/>
          <w:kern w:val="0"/>
          <w:szCs w:val="21"/>
        </w:rPr>
        <w:t>指导</w:t>
      </w:r>
      <w:r>
        <w:rPr>
          <w:rFonts w:ascii="宋体" w:hAnsi="宋体" w:cs="宋体" w:hint="eastAsia"/>
          <w:kern w:val="0"/>
          <w:szCs w:val="21"/>
        </w:rPr>
        <w:t>为</w:t>
      </w:r>
      <w:r>
        <w:rPr>
          <w:rFonts w:ascii="宋体" w:hAnsi="宋体" w:cs="宋体" w:hint="eastAsia"/>
          <w:kern w:val="0"/>
          <w:szCs w:val="21"/>
        </w:rPr>
        <w:t>辅、咨询</w:t>
      </w:r>
      <w:r>
        <w:rPr>
          <w:rFonts w:ascii="宋体" w:hAnsi="宋体" w:cs="宋体" w:hint="eastAsia"/>
          <w:kern w:val="0"/>
          <w:szCs w:val="21"/>
        </w:rPr>
        <w:t>服务与学生活动</w:t>
      </w:r>
      <w:r>
        <w:rPr>
          <w:rFonts w:ascii="宋体" w:hAnsi="宋体" w:cs="宋体" w:hint="eastAsia"/>
          <w:kern w:val="0"/>
          <w:szCs w:val="21"/>
        </w:rPr>
        <w:t>并举的职业指导理念</w:t>
      </w:r>
      <w:r>
        <w:rPr>
          <w:rFonts w:ascii="宋体" w:hAnsi="宋体" w:cs="宋体" w:hint="eastAsia"/>
          <w:kern w:val="0"/>
          <w:szCs w:val="21"/>
        </w:rPr>
        <w:t>。</w:t>
      </w:r>
      <w:r>
        <w:rPr>
          <w:rFonts w:ascii="宋体" w:hAnsi="宋体" w:cs="宋体" w:hint="eastAsia"/>
          <w:kern w:val="0"/>
          <w:szCs w:val="21"/>
        </w:rPr>
        <w:lastRenderedPageBreak/>
        <w:t>在课程教学方面，除</w:t>
      </w:r>
      <w:r>
        <w:rPr>
          <w:rFonts w:ascii="宋体" w:hAnsi="宋体" w:cs="宋体" w:hint="eastAsia"/>
          <w:szCs w:val="21"/>
        </w:rPr>
        <w:t>《大学生职业</w:t>
      </w:r>
      <w:r>
        <w:rPr>
          <w:rFonts w:ascii="宋体" w:hAnsi="宋体" w:cs="宋体" w:hint="eastAsia"/>
          <w:szCs w:val="21"/>
        </w:rPr>
        <w:t>发展</w:t>
      </w:r>
      <w:r>
        <w:rPr>
          <w:rFonts w:ascii="宋体" w:hAnsi="宋体" w:cs="宋体" w:hint="eastAsia"/>
          <w:szCs w:val="21"/>
        </w:rPr>
        <w:t>》</w:t>
      </w:r>
      <w:r>
        <w:rPr>
          <w:rFonts w:ascii="宋体" w:hAnsi="宋体" w:cs="宋体" w:hint="eastAsia"/>
          <w:szCs w:val="21"/>
        </w:rPr>
        <w:t>以外，学院成立了由辅导员与专业老师组成的创业教育团队，开发并开设了《大学生创新创业课程》，首批培训班有四十三名学生顺利结业。</w:t>
      </w:r>
      <w:r>
        <w:rPr>
          <w:rFonts w:ascii="宋体" w:hAnsi="宋体" w:cs="宋体" w:hint="eastAsia"/>
          <w:szCs w:val="21"/>
        </w:rPr>
        <w:t>学院</w:t>
      </w:r>
      <w:r>
        <w:rPr>
          <w:rFonts w:ascii="宋体" w:hAnsi="宋体" w:cs="宋体" w:hint="eastAsia"/>
          <w:szCs w:val="21"/>
        </w:rPr>
        <w:t>将专业启蒙作为全程化职业辅导的开端，入学伊始便培养学生的专</w:t>
      </w:r>
      <w:r>
        <w:rPr>
          <w:rFonts w:ascii="宋体" w:hAnsi="宋体" w:cs="宋体" w:hint="eastAsia"/>
          <w:szCs w:val="21"/>
        </w:rPr>
        <w:t>业兴趣，通过名家讲座帮助学生了解专业发展方向和前沿信息，以</w:t>
      </w:r>
      <w:r>
        <w:rPr>
          <w:rFonts w:ascii="宋体" w:hAnsi="宋体" w:cs="宋体" w:hint="eastAsia"/>
          <w:szCs w:val="21"/>
        </w:rPr>
        <w:t>大学生职业生涯规划大赛、职场精英赛</w:t>
      </w:r>
      <w:r>
        <w:rPr>
          <w:rFonts w:ascii="宋体" w:hAnsi="宋体" w:cs="宋体" w:hint="eastAsia"/>
          <w:szCs w:val="21"/>
        </w:rPr>
        <w:t>等活动进行</w:t>
      </w:r>
      <w:r>
        <w:rPr>
          <w:rFonts w:ascii="宋体" w:hAnsi="宋体" w:cs="宋体" w:hint="eastAsia"/>
          <w:szCs w:val="21"/>
        </w:rPr>
        <w:t>毕业生</w:t>
      </w:r>
      <w:r>
        <w:rPr>
          <w:rFonts w:ascii="宋体" w:hAnsi="宋体" w:cs="宋体" w:hint="eastAsia"/>
          <w:szCs w:val="21"/>
        </w:rPr>
        <w:t>就创业</w:t>
      </w:r>
      <w:r>
        <w:rPr>
          <w:rFonts w:ascii="宋体" w:hAnsi="宋体" w:cs="宋体" w:hint="eastAsia"/>
          <w:szCs w:val="21"/>
        </w:rPr>
        <w:t>观教育</w:t>
      </w:r>
      <w:r>
        <w:rPr>
          <w:rFonts w:ascii="宋体" w:hAnsi="宋体" w:cs="宋体" w:hint="eastAsia"/>
          <w:kern w:val="0"/>
          <w:szCs w:val="21"/>
        </w:rPr>
        <w:t>。</w:t>
      </w:r>
    </w:p>
    <w:p w:rsidR="00000000" w:rsidRDefault="00BC53B5">
      <w:pPr>
        <w:pStyle w:val="a8"/>
        <w:spacing w:line="480" w:lineRule="auto"/>
        <w:ind w:firstLineChars="0" w:firstLine="0"/>
        <w:rPr>
          <w:rFonts w:ascii="宋体" w:hAnsi="宋体" w:cs="宋体" w:hint="eastAsia"/>
          <w:b/>
          <w:bCs/>
          <w:sz w:val="28"/>
          <w:szCs w:val="28"/>
        </w:rPr>
      </w:pPr>
      <w:r>
        <w:rPr>
          <w:rFonts w:ascii="宋体" w:hAnsi="宋体" w:cs="宋体" w:hint="eastAsia"/>
          <w:b/>
          <w:bCs/>
          <w:sz w:val="28"/>
          <w:szCs w:val="28"/>
        </w:rPr>
        <w:t>三、</w:t>
      </w:r>
      <w:r>
        <w:rPr>
          <w:rFonts w:ascii="宋体" w:hAnsi="宋体" w:cs="宋体" w:hint="eastAsia"/>
          <w:b/>
          <w:bCs/>
          <w:sz w:val="28"/>
          <w:szCs w:val="28"/>
        </w:rPr>
        <w:t>革新观念、把握机遇，开发网络平台新应用</w:t>
      </w:r>
    </w:p>
    <w:p w:rsidR="00000000" w:rsidRDefault="00BC53B5" w:rsidP="007546BB">
      <w:pPr>
        <w:pStyle w:val="a8"/>
        <w:autoSpaceDE w:val="0"/>
        <w:autoSpaceDN w:val="0"/>
        <w:adjustRightInd w:val="0"/>
        <w:spacing w:line="480" w:lineRule="auto"/>
        <w:jc w:val="left"/>
        <w:rPr>
          <w:rFonts w:ascii="宋体" w:hAnsi="宋体" w:cs="宋体" w:hint="eastAsia"/>
          <w:kern w:val="0"/>
          <w:szCs w:val="21"/>
        </w:rPr>
      </w:pPr>
      <w:r>
        <w:rPr>
          <w:rFonts w:ascii="宋体" w:hAnsi="宋体" w:cs="宋体" w:hint="eastAsia"/>
          <w:kern w:val="0"/>
          <w:szCs w:val="21"/>
        </w:rPr>
        <w:t>网络媒体是毕业生就业创业工作的新平台，学院与</w:t>
      </w:r>
      <w:r>
        <w:rPr>
          <w:rFonts w:ascii="宋体" w:hAnsi="宋体" w:cs="宋体" w:hint="eastAsia"/>
          <w:kern w:val="0"/>
          <w:szCs w:val="21"/>
        </w:rPr>
        <w:t>江苏省就业网络联盟</w:t>
      </w:r>
      <w:r>
        <w:rPr>
          <w:rFonts w:ascii="宋体" w:hAnsi="宋体" w:cs="宋体" w:hint="eastAsia"/>
          <w:kern w:val="0"/>
          <w:szCs w:val="21"/>
        </w:rPr>
        <w:t>合作</w:t>
      </w:r>
      <w:r>
        <w:rPr>
          <w:rFonts w:ascii="宋体" w:hAnsi="宋体" w:cs="宋体" w:hint="eastAsia"/>
          <w:szCs w:val="21"/>
        </w:rPr>
        <w:t>，</w:t>
      </w:r>
      <w:r>
        <w:rPr>
          <w:rFonts w:ascii="宋体" w:hAnsi="宋体" w:cs="宋体" w:hint="eastAsia"/>
          <w:kern w:val="0"/>
          <w:szCs w:val="21"/>
        </w:rPr>
        <w:t>创建</w:t>
      </w:r>
      <w:r>
        <w:rPr>
          <w:rFonts w:ascii="宋体" w:hAnsi="宋体" w:cs="宋体" w:hint="eastAsia"/>
          <w:kern w:val="0"/>
          <w:szCs w:val="21"/>
        </w:rPr>
        <w:t>了</w:t>
      </w:r>
      <w:r>
        <w:rPr>
          <w:rFonts w:ascii="宋体" w:hAnsi="宋体" w:cs="宋体" w:hint="eastAsia"/>
          <w:kern w:val="0"/>
          <w:szCs w:val="21"/>
        </w:rPr>
        <w:t>就业创业网，完善</w:t>
      </w:r>
      <w:r>
        <w:rPr>
          <w:rFonts w:ascii="宋体" w:hAnsi="宋体" w:cs="宋体" w:hint="eastAsia"/>
          <w:kern w:val="0"/>
          <w:szCs w:val="21"/>
        </w:rPr>
        <w:t>了</w:t>
      </w:r>
      <w:r>
        <w:rPr>
          <w:rFonts w:ascii="宋体" w:hAnsi="宋体" w:cs="宋体" w:hint="eastAsia"/>
          <w:kern w:val="0"/>
          <w:szCs w:val="21"/>
        </w:rPr>
        <w:t>“智慧就业”服务平台建设</w:t>
      </w:r>
      <w:r>
        <w:rPr>
          <w:rFonts w:ascii="宋体" w:hAnsi="宋体" w:cs="宋体" w:hint="eastAsia"/>
          <w:kern w:val="0"/>
          <w:szCs w:val="21"/>
        </w:rPr>
        <w:t>，</w:t>
      </w:r>
      <w:r>
        <w:rPr>
          <w:rFonts w:ascii="宋体" w:hAnsi="宋体" w:cs="宋体" w:hint="eastAsia"/>
          <w:kern w:val="0"/>
          <w:szCs w:val="21"/>
        </w:rPr>
        <w:t>每年有百余家企业通过平台为毕业生提供就业信息</w:t>
      </w:r>
      <w:r>
        <w:rPr>
          <w:rFonts w:ascii="宋体" w:hAnsi="宋体" w:cs="宋体" w:hint="eastAsia"/>
          <w:szCs w:val="21"/>
        </w:rPr>
        <w:t>。</w:t>
      </w:r>
      <w:r>
        <w:rPr>
          <w:rFonts w:ascii="宋体" w:hAnsi="宋体" w:cs="宋体" w:hint="eastAsia"/>
          <w:szCs w:val="21"/>
        </w:rPr>
        <w:t>学院还与国内首家专业招聘网站——“智联招聘”合作举办了</w:t>
      </w:r>
      <w:r>
        <w:rPr>
          <w:rFonts w:ascii="宋体" w:hAnsi="宋体" w:cs="宋体" w:hint="eastAsia"/>
          <w:szCs w:val="21"/>
        </w:rPr>
        <w:t>2016</w:t>
      </w:r>
      <w:r>
        <w:rPr>
          <w:rFonts w:ascii="宋体" w:hAnsi="宋体" w:cs="宋体" w:hint="eastAsia"/>
          <w:szCs w:val="21"/>
        </w:rPr>
        <w:t>大型校园公益招聘会，与视频招聘专家——“有面儿”</w:t>
      </w:r>
      <w:r>
        <w:rPr>
          <w:rFonts w:ascii="宋体" w:hAnsi="宋体" w:cs="宋体" w:hint="eastAsia"/>
          <w:szCs w:val="21"/>
        </w:rPr>
        <w:t>App</w:t>
      </w:r>
      <w:r>
        <w:rPr>
          <w:rFonts w:ascii="宋体" w:hAnsi="宋体" w:cs="宋体" w:hint="eastAsia"/>
          <w:szCs w:val="21"/>
        </w:rPr>
        <w:t>开设了网络招聘专区，学生的就业区域得到了空前的拓展。</w:t>
      </w:r>
    </w:p>
    <w:p w:rsidR="00000000" w:rsidRDefault="00BC53B5">
      <w:pPr>
        <w:pStyle w:val="a8"/>
        <w:spacing w:line="480" w:lineRule="auto"/>
        <w:ind w:firstLineChars="0" w:firstLine="0"/>
        <w:rPr>
          <w:rFonts w:ascii="宋体" w:hAnsi="宋体" w:cs="宋体" w:hint="eastAsia"/>
          <w:b/>
          <w:bCs/>
          <w:sz w:val="28"/>
          <w:szCs w:val="28"/>
        </w:rPr>
      </w:pPr>
      <w:r>
        <w:rPr>
          <w:rFonts w:ascii="宋体" w:hAnsi="宋体" w:cs="宋体" w:hint="eastAsia"/>
          <w:b/>
          <w:bCs/>
          <w:sz w:val="28"/>
          <w:szCs w:val="28"/>
        </w:rPr>
        <w:t>四、</w:t>
      </w:r>
      <w:r>
        <w:rPr>
          <w:rFonts w:ascii="宋体" w:hAnsi="宋体" w:cs="宋体" w:hint="eastAsia"/>
          <w:b/>
          <w:bCs/>
          <w:sz w:val="28"/>
          <w:szCs w:val="28"/>
        </w:rPr>
        <w:t>拓宽渠</w:t>
      </w:r>
      <w:r>
        <w:rPr>
          <w:rFonts w:ascii="宋体" w:hAnsi="宋体" w:cs="宋体" w:hint="eastAsia"/>
          <w:b/>
          <w:bCs/>
          <w:sz w:val="28"/>
          <w:szCs w:val="28"/>
        </w:rPr>
        <w:t>道、合作共赢，推进就业资源网格化建设</w:t>
      </w:r>
    </w:p>
    <w:p w:rsidR="00000000" w:rsidRDefault="00BC53B5" w:rsidP="007546BB">
      <w:pPr>
        <w:pStyle w:val="a8"/>
        <w:spacing w:line="480" w:lineRule="auto"/>
        <w:rPr>
          <w:rFonts w:ascii="宋体" w:hAnsi="宋体" w:cs="宋体" w:hint="eastAsia"/>
          <w:szCs w:val="21"/>
        </w:rPr>
      </w:pPr>
      <w:r>
        <w:rPr>
          <w:rFonts w:ascii="宋体" w:hAnsi="宋体" w:cs="宋体" w:hint="eastAsia"/>
          <w:szCs w:val="21"/>
        </w:rPr>
        <w:t>学院</w:t>
      </w:r>
      <w:r>
        <w:rPr>
          <w:rFonts w:ascii="宋体" w:hAnsi="宋体" w:cs="宋体" w:hint="eastAsia"/>
          <w:szCs w:val="21"/>
        </w:rPr>
        <w:t>非常重视与用人单位、人才市场的联系与合作。就创业基地以每年二十家左右的速度不断增加，同时，打通了专业学部与对口企业的交流渠道，以学部为单位开展客户管理。学院定期</w:t>
      </w:r>
      <w:r>
        <w:rPr>
          <w:rFonts w:ascii="宋体" w:hAnsi="宋体" w:cs="宋体" w:hint="eastAsia"/>
          <w:szCs w:val="21"/>
        </w:rPr>
        <w:t>走访用人单位，调研就业需求和毕业生职业发展状况，</w:t>
      </w:r>
      <w:r>
        <w:rPr>
          <w:rFonts w:ascii="宋体" w:hAnsi="宋体" w:cs="宋体" w:hint="eastAsia"/>
          <w:szCs w:val="21"/>
        </w:rPr>
        <w:t>及时反馈并调整教学培养计划</w:t>
      </w:r>
      <w:r>
        <w:rPr>
          <w:rFonts w:ascii="宋体" w:hAnsi="宋体" w:cs="宋体" w:hint="eastAsia"/>
          <w:szCs w:val="21"/>
        </w:rPr>
        <w:t>。</w:t>
      </w:r>
      <w:r>
        <w:rPr>
          <w:rFonts w:ascii="宋体" w:hAnsi="宋体" w:cs="宋体" w:hint="eastAsia"/>
          <w:szCs w:val="21"/>
        </w:rPr>
        <w:t>学院除与南通市人才中心、南通市人力资源协会保持密切联系外，每年寒假，学院分批奔赴省内各县市的人才市场，以学校集中推荐的方式促进毕业生的就业。</w:t>
      </w:r>
    </w:p>
    <w:p w:rsidR="00000000" w:rsidRDefault="00BC53B5">
      <w:pPr>
        <w:pStyle w:val="a8"/>
        <w:spacing w:line="480" w:lineRule="auto"/>
        <w:ind w:firstLineChars="0" w:firstLine="0"/>
        <w:rPr>
          <w:rFonts w:ascii="宋体" w:hAnsi="宋体" w:cs="宋体" w:hint="eastAsia"/>
          <w:b/>
          <w:bCs/>
          <w:sz w:val="28"/>
          <w:szCs w:val="28"/>
        </w:rPr>
      </w:pPr>
      <w:r>
        <w:rPr>
          <w:rFonts w:ascii="宋体" w:hAnsi="宋体" w:cs="宋体" w:hint="eastAsia"/>
          <w:b/>
          <w:bCs/>
          <w:sz w:val="28"/>
          <w:szCs w:val="28"/>
        </w:rPr>
        <w:t>五、</w:t>
      </w:r>
      <w:r>
        <w:rPr>
          <w:rFonts w:ascii="宋体" w:hAnsi="宋体" w:cs="宋体" w:hint="eastAsia"/>
          <w:b/>
          <w:bCs/>
          <w:sz w:val="28"/>
          <w:szCs w:val="28"/>
        </w:rPr>
        <w:t>独立建档、跟踪服务，实现毕业生就业帮扶全覆盖</w:t>
      </w:r>
    </w:p>
    <w:p w:rsidR="00000000" w:rsidRDefault="00BC53B5">
      <w:pPr>
        <w:autoSpaceDE w:val="0"/>
        <w:autoSpaceDN w:val="0"/>
        <w:adjustRightInd w:val="0"/>
        <w:spacing w:line="480" w:lineRule="auto"/>
        <w:ind w:firstLineChars="200" w:firstLine="420"/>
        <w:jc w:val="left"/>
        <w:rPr>
          <w:rFonts w:ascii="宋体" w:hAnsi="宋体" w:cs="宋体" w:hint="eastAsia"/>
          <w:kern w:val="0"/>
          <w:sz w:val="20"/>
          <w:szCs w:val="20"/>
        </w:rPr>
      </w:pPr>
      <w:r>
        <w:rPr>
          <w:rFonts w:ascii="宋体" w:hAnsi="宋体" w:cs="宋体" w:hint="eastAsia"/>
          <w:szCs w:val="21"/>
        </w:rPr>
        <w:t>学院将做好困难学生的就业</w:t>
      </w:r>
      <w:r>
        <w:rPr>
          <w:rFonts w:ascii="宋体" w:hAnsi="宋体" w:cs="宋体" w:hint="eastAsia"/>
          <w:szCs w:val="21"/>
        </w:rPr>
        <w:t>创业</w:t>
      </w:r>
      <w:r>
        <w:rPr>
          <w:rFonts w:ascii="宋体" w:hAnsi="宋体" w:cs="宋体" w:hint="eastAsia"/>
          <w:szCs w:val="21"/>
        </w:rPr>
        <w:t>指导和推荐作为</w:t>
      </w:r>
      <w:r>
        <w:rPr>
          <w:rFonts w:ascii="宋体" w:hAnsi="宋体" w:cs="宋体" w:hint="eastAsia"/>
          <w:szCs w:val="21"/>
        </w:rPr>
        <w:t>毕业生工作的重要内容，制定《南通大学杏林学院困难毕业生帮扶实施办法》，建立困难学生帮扶档案，</w:t>
      </w:r>
      <w:r>
        <w:rPr>
          <w:rFonts w:ascii="宋体" w:hAnsi="宋体" w:cs="宋体" w:hint="eastAsia"/>
          <w:szCs w:val="21"/>
        </w:rPr>
        <w:t>由就创业指导老师、心理咨询老师组成帮扶小组，对症下药，</w:t>
      </w:r>
      <w:r>
        <w:rPr>
          <w:rFonts w:ascii="宋体" w:hAnsi="宋体" w:cs="宋体" w:hint="eastAsia"/>
          <w:kern w:val="0"/>
          <w:szCs w:val="21"/>
        </w:rPr>
        <w:t>采取多种措施，</w:t>
      </w:r>
      <w:r>
        <w:rPr>
          <w:rFonts w:ascii="宋体" w:hAnsi="宋体" w:cs="宋体" w:hint="eastAsia"/>
          <w:kern w:val="0"/>
          <w:szCs w:val="21"/>
        </w:rPr>
        <w:t>协助困难毕业生走上工作岗位</w:t>
      </w:r>
      <w:r>
        <w:rPr>
          <w:rFonts w:ascii="宋体" w:hAnsi="宋体" w:cs="宋体" w:hint="eastAsia"/>
          <w:kern w:val="0"/>
          <w:szCs w:val="21"/>
        </w:rPr>
        <w:t>。同时，做好未就业毕业生的跟踪服务，及时掌握毕业生就业动态，</w:t>
      </w:r>
      <w:r>
        <w:rPr>
          <w:rFonts w:ascii="宋体" w:hAnsi="宋体" w:cs="宋体" w:hint="eastAsia"/>
          <w:kern w:val="0"/>
          <w:szCs w:val="21"/>
        </w:rPr>
        <w:t>及时给予心理等方面的指导，</w:t>
      </w:r>
      <w:r>
        <w:rPr>
          <w:rFonts w:ascii="宋体" w:hAnsi="宋体" w:cs="宋体" w:hint="eastAsia"/>
          <w:kern w:val="0"/>
          <w:szCs w:val="21"/>
        </w:rPr>
        <w:t>帮</w:t>
      </w:r>
      <w:r>
        <w:rPr>
          <w:rFonts w:ascii="宋体" w:hAnsi="宋体" w:cs="宋体" w:hint="eastAsia"/>
          <w:kern w:val="0"/>
          <w:szCs w:val="21"/>
        </w:rPr>
        <w:lastRenderedPageBreak/>
        <w:t>助他们解决就业</w:t>
      </w:r>
      <w:r>
        <w:rPr>
          <w:rFonts w:ascii="宋体" w:hAnsi="宋体" w:cs="宋体" w:hint="eastAsia"/>
          <w:kern w:val="0"/>
          <w:szCs w:val="21"/>
        </w:rPr>
        <w:t>创业</w:t>
      </w:r>
      <w:r>
        <w:rPr>
          <w:rFonts w:ascii="宋体" w:hAnsi="宋体" w:cs="宋体" w:hint="eastAsia"/>
          <w:kern w:val="0"/>
          <w:szCs w:val="21"/>
        </w:rPr>
        <w:t>中的困难。</w:t>
      </w:r>
    </w:p>
    <w:p w:rsidR="00000000" w:rsidRDefault="00BC53B5">
      <w:pPr>
        <w:pStyle w:val="a8"/>
        <w:spacing w:line="480" w:lineRule="auto"/>
        <w:ind w:firstLineChars="0" w:firstLine="0"/>
        <w:rPr>
          <w:rFonts w:ascii="宋体" w:hAnsi="宋体" w:cs="宋体" w:hint="eastAsia"/>
          <w:b/>
          <w:bCs/>
          <w:sz w:val="28"/>
          <w:szCs w:val="28"/>
        </w:rPr>
      </w:pPr>
      <w:r>
        <w:rPr>
          <w:rFonts w:ascii="宋体" w:hAnsi="宋体" w:cs="宋体" w:hint="eastAsia"/>
          <w:b/>
          <w:bCs/>
          <w:sz w:val="28"/>
          <w:szCs w:val="28"/>
        </w:rPr>
        <w:t>六、</w:t>
      </w:r>
      <w:r>
        <w:rPr>
          <w:rFonts w:ascii="宋体" w:hAnsi="宋体" w:cs="宋体" w:hint="eastAsia"/>
          <w:b/>
          <w:bCs/>
          <w:sz w:val="28"/>
          <w:szCs w:val="28"/>
        </w:rPr>
        <w:t>理论学习与实践创新并重，打造专家型就创业团队</w:t>
      </w:r>
    </w:p>
    <w:p w:rsidR="00000000" w:rsidRDefault="00BC53B5">
      <w:pPr>
        <w:spacing w:line="480" w:lineRule="auto"/>
        <w:jc w:val="center"/>
        <w:rPr>
          <w:rFonts w:ascii="楷体_GB2312" w:eastAsia="楷体_GB2312" w:hAnsi="楷体_GB2312" w:cs="楷体_GB2312" w:hint="eastAsia"/>
          <w:b/>
          <w:bCs/>
          <w:sz w:val="36"/>
          <w:szCs w:val="36"/>
        </w:rPr>
      </w:pPr>
      <w:r>
        <w:rPr>
          <w:rFonts w:ascii="宋体" w:hAnsi="宋体" w:cs="宋体" w:hint="eastAsia"/>
          <w:szCs w:val="21"/>
        </w:rPr>
        <w:t>学院现有</w:t>
      </w:r>
      <w:r>
        <w:rPr>
          <w:rFonts w:ascii="宋体" w:hAnsi="宋体" w:cs="宋体" w:hint="eastAsia"/>
          <w:szCs w:val="21"/>
        </w:rPr>
        <w:t>一支专业的就创业指导教师团队，</w:t>
      </w:r>
      <w:r>
        <w:rPr>
          <w:rFonts w:ascii="宋体" w:hAnsi="宋体" w:cs="宋体" w:hint="eastAsia"/>
          <w:szCs w:val="21"/>
        </w:rPr>
        <w:t>16</w:t>
      </w:r>
      <w:r>
        <w:rPr>
          <w:rFonts w:ascii="宋体" w:hAnsi="宋体" w:cs="宋体" w:hint="eastAsia"/>
          <w:szCs w:val="21"/>
        </w:rPr>
        <w:t>位教师通过了国家职业指导师和心理咨询师考试，</w:t>
      </w:r>
      <w:r>
        <w:rPr>
          <w:rFonts w:ascii="宋体" w:hAnsi="宋体" w:cs="宋体" w:hint="eastAsia"/>
          <w:szCs w:val="21"/>
        </w:rPr>
        <w:t>含</w:t>
      </w:r>
      <w:r>
        <w:rPr>
          <w:rFonts w:ascii="宋体" w:hAnsi="宋体" w:cs="宋体" w:hint="eastAsia"/>
          <w:szCs w:val="21"/>
        </w:rPr>
        <w:t>国家高级职业指导师</w:t>
      </w:r>
      <w:r>
        <w:rPr>
          <w:rFonts w:ascii="宋体" w:hAnsi="宋体" w:cs="宋体" w:hint="eastAsia"/>
          <w:szCs w:val="21"/>
        </w:rPr>
        <w:t>、</w:t>
      </w:r>
      <w:r>
        <w:rPr>
          <w:rFonts w:ascii="宋体" w:hAnsi="宋体" w:cs="宋体" w:hint="eastAsia"/>
          <w:szCs w:val="21"/>
        </w:rPr>
        <w:t>全球职业生涯规划师</w:t>
      </w:r>
      <w:r>
        <w:rPr>
          <w:rFonts w:ascii="宋体" w:hAnsi="宋体" w:cs="宋体" w:hint="eastAsia"/>
          <w:szCs w:val="21"/>
        </w:rPr>
        <w:t>、</w:t>
      </w:r>
      <w:r>
        <w:rPr>
          <w:rFonts w:ascii="宋体" w:hAnsi="宋体" w:cs="宋体" w:hint="eastAsia"/>
          <w:szCs w:val="21"/>
        </w:rPr>
        <w:t>创业咨询师、</w:t>
      </w:r>
      <w:r>
        <w:rPr>
          <w:rFonts w:ascii="宋体" w:hAnsi="宋体" w:cs="宋体" w:hint="eastAsia"/>
          <w:szCs w:val="21"/>
        </w:rPr>
        <w:t>SYB</w:t>
      </w:r>
      <w:r>
        <w:rPr>
          <w:rFonts w:ascii="宋体" w:hAnsi="宋体" w:cs="宋体" w:hint="eastAsia"/>
          <w:szCs w:val="21"/>
        </w:rPr>
        <w:t>和</w:t>
      </w:r>
      <w:r>
        <w:rPr>
          <w:rFonts w:ascii="宋体" w:hAnsi="宋体" w:cs="宋体" w:hint="eastAsia"/>
          <w:szCs w:val="21"/>
        </w:rPr>
        <w:t>KAB</w:t>
      </w:r>
      <w:r>
        <w:rPr>
          <w:rFonts w:ascii="宋体" w:hAnsi="宋体" w:cs="宋体" w:hint="eastAsia"/>
          <w:szCs w:val="21"/>
        </w:rPr>
        <w:t>讲师</w:t>
      </w:r>
      <w:r>
        <w:rPr>
          <w:rFonts w:ascii="宋体" w:hAnsi="宋体" w:cs="宋体" w:hint="eastAsia"/>
          <w:szCs w:val="21"/>
        </w:rPr>
        <w:t>、创业实训师</w:t>
      </w:r>
      <w:r>
        <w:rPr>
          <w:rFonts w:ascii="宋体" w:hAnsi="宋体" w:cs="宋体" w:hint="eastAsia"/>
          <w:szCs w:val="21"/>
        </w:rPr>
        <w:t>、</w:t>
      </w:r>
      <w:r>
        <w:rPr>
          <w:rFonts w:ascii="宋体" w:hAnsi="宋体" w:cs="宋体" w:hint="eastAsia"/>
          <w:szCs w:val="21"/>
        </w:rPr>
        <w:t>护理人才通用能力培训项目师资</w:t>
      </w:r>
      <w:r>
        <w:rPr>
          <w:rFonts w:ascii="宋体" w:hAnsi="宋体" w:cs="宋体" w:hint="eastAsia"/>
          <w:szCs w:val="21"/>
        </w:rPr>
        <w:t>、</w:t>
      </w:r>
      <w:r>
        <w:rPr>
          <w:rFonts w:ascii="宋体" w:hAnsi="宋体" w:cs="宋体" w:hint="eastAsia"/>
          <w:szCs w:val="21"/>
        </w:rPr>
        <w:t>PTT</w:t>
      </w:r>
      <w:r>
        <w:rPr>
          <w:rFonts w:ascii="宋体" w:hAnsi="宋体" w:cs="宋体" w:hint="eastAsia"/>
          <w:szCs w:val="21"/>
        </w:rPr>
        <w:t>讲师</w:t>
      </w:r>
      <w:r>
        <w:rPr>
          <w:rFonts w:ascii="宋体" w:hAnsi="宋体" w:cs="宋体" w:hint="eastAsia"/>
          <w:szCs w:val="21"/>
        </w:rPr>
        <w:t>等</w:t>
      </w:r>
      <w:r>
        <w:rPr>
          <w:rFonts w:ascii="宋体" w:hAnsi="宋体" w:cs="宋体" w:hint="eastAsia"/>
          <w:szCs w:val="21"/>
        </w:rPr>
        <w:t>。学院</w:t>
      </w:r>
      <w:r>
        <w:rPr>
          <w:rFonts w:ascii="宋体" w:hAnsi="宋体" w:cs="宋体" w:hint="eastAsia"/>
          <w:szCs w:val="21"/>
        </w:rPr>
        <w:t>定期组织专题学习、座谈会、辅导员提升班，</w:t>
      </w:r>
      <w:r>
        <w:rPr>
          <w:rFonts w:ascii="宋体" w:hAnsi="宋体" w:cs="宋体" w:hint="eastAsia"/>
          <w:szCs w:val="21"/>
        </w:rPr>
        <w:t>鼓励</w:t>
      </w:r>
      <w:r>
        <w:rPr>
          <w:rFonts w:ascii="宋体" w:hAnsi="宋体" w:cs="宋体" w:hint="eastAsia"/>
          <w:szCs w:val="21"/>
        </w:rPr>
        <w:t>就创业</w:t>
      </w:r>
      <w:r>
        <w:rPr>
          <w:rFonts w:ascii="宋体" w:hAnsi="宋体" w:cs="宋体" w:hint="eastAsia"/>
          <w:szCs w:val="21"/>
        </w:rPr>
        <w:t>工作人员进行独立学院就业工作理论与实践创新，提升科研创新能力，打造学习型、研究型队伍。</w:t>
      </w: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ind w:left="420"/>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t>第三部分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就业相关分析</w:t>
      </w:r>
    </w:p>
    <w:p w:rsidR="00000000" w:rsidRDefault="00BC53B5">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b/>
          <w:bCs/>
          <w:sz w:val="32"/>
          <w:szCs w:val="32"/>
        </w:rPr>
        <w:t>一、近三年毕业生就业分析</w:t>
      </w:r>
    </w:p>
    <w:p w:rsidR="00000000" w:rsidRDefault="00BC53B5">
      <w:pPr>
        <w:numPr>
          <w:ilvl w:val="0"/>
          <w:numId w:val="5"/>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就业率</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在严峻的就业形势下，学院以加强就业指导服务，拓宽就业渠道，鼓励学生升学出国等方式促进学生就业。近三年，我院毕业生初次就业率依次为</w:t>
      </w:r>
      <w:r>
        <w:rPr>
          <w:rFonts w:ascii="楷体_GB2312" w:eastAsia="楷体_GB2312" w:hAnsi="楷体_GB2312" w:cs="楷体_GB2312" w:hint="eastAsia"/>
          <w:sz w:val="28"/>
          <w:szCs w:val="28"/>
        </w:rPr>
        <w:t>87.42%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87.85%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88.19%</w:t>
      </w:r>
      <w:r>
        <w:rPr>
          <w:rFonts w:ascii="楷体_GB2312" w:eastAsia="楷体_GB2312" w:hAnsi="楷体_GB2312" w:cs="楷体_GB2312" w:hint="eastAsia"/>
          <w:sz w:val="28"/>
          <w:szCs w:val="28"/>
        </w:rPr>
        <w:t>，年终就业率依次为</w:t>
      </w:r>
      <w:r>
        <w:rPr>
          <w:rFonts w:ascii="楷体_GB2312" w:eastAsia="楷体_GB2312" w:hAnsi="楷体_GB2312" w:cs="楷体_GB2312" w:hint="eastAsia"/>
          <w:sz w:val="28"/>
          <w:szCs w:val="28"/>
        </w:rPr>
        <w:t>97.30%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97.92%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98.06%</w:t>
      </w:r>
      <w:r>
        <w:rPr>
          <w:rFonts w:ascii="楷体_GB2312" w:eastAsia="楷体_GB2312" w:hAnsi="楷体_GB2312" w:cs="楷体_GB2312" w:hint="eastAsia"/>
          <w:sz w:val="28"/>
          <w:szCs w:val="28"/>
        </w:rPr>
        <w:t>，总协议率依次为</w:t>
      </w:r>
      <w:r>
        <w:rPr>
          <w:rFonts w:ascii="楷体_GB2312" w:eastAsia="楷体_GB2312" w:hAnsi="楷体_GB2312" w:cs="楷体_GB2312" w:hint="eastAsia"/>
          <w:sz w:val="28"/>
          <w:szCs w:val="28"/>
        </w:rPr>
        <w:t>94.30%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95.34%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95.52%</w:t>
      </w:r>
      <w:r>
        <w:rPr>
          <w:rFonts w:ascii="楷体_GB2312" w:eastAsia="楷体_GB2312" w:hAnsi="楷体_GB2312" w:cs="楷体_GB2312" w:hint="eastAsia"/>
          <w:sz w:val="28"/>
          <w:szCs w:val="28"/>
        </w:rPr>
        <w:t>。初次就业率逐年提升，年终就业率稳定在</w:t>
      </w:r>
      <w:r>
        <w:rPr>
          <w:rFonts w:ascii="楷体_GB2312" w:eastAsia="楷体_GB2312" w:hAnsi="楷体_GB2312" w:cs="楷体_GB2312" w:hint="eastAsia"/>
          <w:sz w:val="28"/>
          <w:szCs w:val="28"/>
        </w:rPr>
        <w:t>98%</w:t>
      </w:r>
      <w:r>
        <w:rPr>
          <w:rFonts w:ascii="楷体_GB2312" w:eastAsia="楷体_GB2312" w:hAnsi="楷体_GB2312" w:cs="楷体_GB2312" w:hint="eastAsia"/>
          <w:sz w:val="28"/>
          <w:szCs w:val="28"/>
        </w:rPr>
        <w:t>左右（见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3-1</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shd w:val="clear" w:color="FFFFFF" w:fill="D9D9D9"/>
        </w:rPr>
        <w:lastRenderedPageBreak/>
        <w:drawing>
          <wp:inline distT="0" distB="0" distL="0" distR="0">
            <wp:extent cx="4933942" cy="2800406"/>
            <wp:effectExtent l="4447" t="4432" r="14611" b="14562"/>
            <wp:docPr id="18" name="图片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BC53B5">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3-1  </w:t>
      </w:r>
      <w:r>
        <w:rPr>
          <w:rFonts w:ascii="楷体_GB2312" w:eastAsia="楷体_GB2312" w:hAnsi="楷体_GB2312" w:cs="楷体_GB2312" w:hint="eastAsia"/>
          <w:b/>
          <w:bCs/>
          <w:sz w:val="28"/>
          <w:szCs w:val="28"/>
        </w:rPr>
        <w:t>近三年毕业生就业率情况</w:t>
      </w:r>
    </w:p>
    <w:p w:rsidR="00000000" w:rsidRDefault="00BC53B5">
      <w:pPr>
        <w:numPr>
          <w:ilvl w:val="0"/>
          <w:numId w:val="6"/>
        </w:numPr>
        <w:spacing w:line="480" w:lineRule="auto"/>
        <w:ind w:left="420"/>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就业流向</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随着社会竞争日趋激烈，就业压力不断增大，在毕业生总数及就业率总体保持相对稳定的情况下，我院毕业生近三年灵活就业率逐年下降，就业质量不断提高（见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3-2</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7546BB">
      <w:pPr>
        <w:spacing w:line="480" w:lineRule="auto"/>
        <w:jc w:val="center"/>
        <w:rPr>
          <w:rFonts w:ascii="楷体_GB2312" w:eastAsia="楷体_GB2312" w:hAnsi="楷体_GB2312" w:cs="楷体_GB2312" w:hint="eastAsia"/>
          <w:b/>
          <w:bCs/>
          <w:color w:val="000000"/>
          <w:sz w:val="32"/>
          <w:szCs w:val="32"/>
        </w:rPr>
      </w:pPr>
      <w:r>
        <w:rPr>
          <w:b/>
          <w:bCs/>
          <w:noProof/>
          <w:color w:val="000000"/>
          <w:sz w:val="22"/>
          <w:szCs w:val="24"/>
        </w:rPr>
        <w:drawing>
          <wp:inline distT="0" distB="0" distL="0" distR="0">
            <wp:extent cx="4572000" cy="2743200"/>
            <wp:effectExtent l="4445" t="4445" r="14605" b="14605"/>
            <wp:docPr id="19"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BC53B5">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3-2  </w:t>
      </w:r>
      <w:r>
        <w:rPr>
          <w:rFonts w:ascii="楷体_GB2312" w:eastAsia="楷体_GB2312" w:hAnsi="楷体_GB2312" w:cs="楷体_GB2312" w:hint="eastAsia"/>
          <w:b/>
          <w:bCs/>
          <w:sz w:val="28"/>
          <w:szCs w:val="28"/>
        </w:rPr>
        <w:t>近三年</w:t>
      </w:r>
      <w:r>
        <w:rPr>
          <w:rFonts w:ascii="楷体_GB2312" w:eastAsia="楷体_GB2312" w:hAnsi="楷体_GB2312" w:cs="楷体_GB2312" w:hint="eastAsia"/>
          <w:b/>
          <w:bCs/>
          <w:sz w:val="28"/>
          <w:szCs w:val="28"/>
        </w:rPr>
        <w:t>毕业生就业流向</w:t>
      </w:r>
    </w:p>
    <w:p w:rsidR="00000000" w:rsidRDefault="00BC53B5">
      <w:pPr>
        <w:spacing w:line="480" w:lineRule="auto"/>
        <w:jc w:val="left"/>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（三）就业适配性</w:t>
      </w:r>
    </w:p>
    <w:p w:rsidR="00000000" w:rsidRDefault="00BC53B5">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lastRenderedPageBreak/>
        <w:t>主要考察学生综合素质与就业岗位的匹配程度</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是反应毕业生就业质量的重要数据，主要包括：毕业生工作与专业相关度、毕业生目前工作与职业期待、毕</w:t>
      </w:r>
      <w:r>
        <w:rPr>
          <w:rFonts w:ascii="楷体_GB2312" w:eastAsia="楷体_GB2312" w:hAnsi="楷体_GB2312" w:cs="楷体_GB2312" w:hint="eastAsia"/>
          <w:sz w:val="28"/>
          <w:szCs w:val="28"/>
        </w:rPr>
        <w:t>业生对工作的满意度等方面。</w:t>
      </w:r>
      <w:r>
        <w:rPr>
          <w:rFonts w:ascii="楷体_GB2312" w:eastAsia="楷体_GB2312" w:hAnsi="楷体_GB2312" w:cs="楷体_GB2312" w:hint="eastAsia"/>
          <w:sz w:val="28"/>
          <w:szCs w:val="28"/>
        </w:rPr>
        <w:t>本校</w:t>
      </w:r>
      <w:r>
        <w:rPr>
          <w:rFonts w:ascii="楷体_GB2312" w:eastAsia="楷体_GB2312" w:hAnsi="楷体_GB2312" w:cs="楷体_GB2312" w:hint="eastAsia"/>
          <w:sz w:val="28"/>
          <w:szCs w:val="28"/>
        </w:rPr>
        <w:t>2016</w:t>
      </w:r>
      <w:r>
        <w:rPr>
          <w:rFonts w:ascii="楷体_GB2312" w:eastAsia="楷体_GB2312" w:hAnsi="楷体_GB2312" w:cs="楷体_GB2312" w:hint="eastAsia"/>
          <w:sz w:val="28"/>
          <w:szCs w:val="28"/>
        </w:rPr>
        <w:t>届毕业生的工作与专业相关度为</w:t>
      </w:r>
      <w:r>
        <w:rPr>
          <w:rFonts w:ascii="楷体_GB2312" w:eastAsia="楷体_GB2312" w:hAnsi="楷体_GB2312" w:cs="楷体_GB2312" w:hint="eastAsia"/>
          <w:sz w:val="28"/>
          <w:szCs w:val="28"/>
        </w:rPr>
        <w:t>67.70%</w:t>
      </w:r>
      <w:r>
        <w:rPr>
          <w:rFonts w:ascii="楷体_GB2312" w:eastAsia="楷体_GB2312" w:hAnsi="楷体_GB2312" w:cs="楷体_GB2312" w:hint="eastAsia"/>
          <w:sz w:val="28"/>
          <w:szCs w:val="28"/>
        </w:rPr>
        <w:t>。毕业生工作与专业相关度较高的院系是医学部（五）（</w:t>
      </w:r>
      <w:r>
        <w:rPr>
          <w:rFonts w:ascii="楷体_GB2312" w:eastAsia="楷体_GB2312" w:hAnsi="楷体_GB2312" w:cs="楷体_GB2312" w:hint="eastAsia"/>
          <w:sz w:val="28"/>
          <w:szCs w:val="28"/>
        </w:rPr>
        <w:t>99.11%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，其中医学影像学工作与专业相关度达到</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，临床医学专业工作与专业相关度为</w:t>
      </w:r>
      <w:r>
        <w:rPr>
          <w:rFonts w:ascii="楷体_GB2312" w:eastAsia="楷体_GB2312" w:hAnsi="楷体_GB2312" w:cs="楷体_GB2312" w:hint="eastAsia"/>
          <w:sz w:val="28"/>
          <w:szCs w:val="28"/>
        </w:rPr>
        <w:t>99.11%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其它各学部各专业工作与专业相关度相对较低。</w:t>
      </w:r>
    </w:p>
    <w:p w:rsidR="00000000" w:rsidRDefault="00BC53B5">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2016</w:t>
      </w:r>
      <w:r>
        <w:rPr>
          <w:rFonts w:ascii="楷体_GB2312" w:eastAsia="楷体_GB2312" w:hAnsi="楷体_GB2312" w:cs="楷体_GB2312" w:hint="eastAsia"/>
          <w:sz w:val="28"/>
          <w:szCs w:val="28"/>
        </w:rPr>
        <w:t>届毕业生的工作满意度为</w:t>
      </w:r>
      <w:r>
        <w:rPr>
          <w:rFonts w:ascii="楷体_GB2312" w:eastAsia="楷体_GB2312" w:hAnsi="楷体_GB2312" w:cs="楷体_GB2312" w:hint="eastAsia"/>
          <w:sz w:val="28"/>
          <w:szCs w:val="28"/>
        </w:rPr>
        <w:t>80.80%</w:t>
      </w:r>
      <w:r>
        <w:rPr>
          <w:rFonts w:ascii="楷体_GB2312" w:eastAsia="楷体_GB2312" w:hAnsi="楷体_GB2312" w:cs="楷体_GB2312" w:hint="eastAsia"/>
          <w:sz w:val="28"/>
          <w:szCs w:val="28"/>
        </w:rPr>
        <w:t>，而对工作不满意最集中的两个问题是工资待遇低和发展空间小。</w:t>
      </w:r>
      <w:r>
        <w:rPr>
          <w:rFonts w:ascii="楷体_GB2312" w:eastAsia="楷体_GB2312" w:hAnsi="楷体_GB2312" w:cs="楷体_GB2312" w:hint="eastAsia"/>
          <w:sz w:val="28"/>
          <w:szCs w:val="28"/>
        </w:rPr>
        <w:t>毕业生的工作与职业期待吻合度为</w:t>
      </w:r>
      <w:r>
        <w:rPr>
          <w:rFonts w:ascii="楷体_GB2312" w:eastAsia="楷体_GB2312" w:hAnsi="楷体_GB2312" w:cs="楷体_GB2312" w:hint="eastAsia"/>
          <w:sz w:val="28"/>
          <w:szCs w:val="28"/>
        </w:rPr>
        <w:t>70.95%</w:t>
      </w:r>
      <w:r>
        <w:rPr>
          <w:rFonts w:ascii="楷体_GB2312" w:eastAsia="楷体_GB2312" w:hAnsi="楷体_GB2312" w:cs="楷体_GB2312" w:hint="eastAsia"/>
          <w:sz w:val="28"/>
          <w:szCs w:val="28"/>
        </w:rPr>
        <w:t>。毕业生认为目前工作与职业期待不符合的主要方面是收入（</w:t>
      </w:r>
      <w:r>
        <w:rPr>
          <w:rFonts w:ascii="楷体_GB2312" w:eastAsia="楷体_GB2312" w:hAnsi="楷体_GB2312" w:cs="楷体_GB2312" w:hint="eastAsia"/>
          <w:sz w:val="28"/>
          <w:szCs w:val="28"/>
        </w:rPr>
        <w:t>66.96%</w:t>
      </w:r>
      <w:r>
        <w:rPr>
          <w:rFonts w:ascii="楷体_GB2312" w:eastAsia="楷体_GB2312" w:hAnsi="楷体_GB2312" w:cs="楷体_GB2312" w:hint="eastAsia"/>
          <w:sz w:val="28"/>
          <w:szCs w:val="28"/>
        </w:rPr>
        <w:t>），其后依次是个人兴趣爱</w:t>
      </w:r>
      <w:r>
        <w:rPr>
          <w:rFonts w:ascii="楷体_GB2312" w:eastAsia="楷体_GB2312" w:hAnsi="楷体_GB2312" w:cs="楷体_GB2312" w:hint="eastAsia"/>
          <w:sz w:val="28"/>
          <w:szCs w:val="28"/>
        </w:rPr>
        <w:t>好（</w:t>
      </w:r>
      <w:r>
        <w:rPr>
          <w:rFonts w:ascii="楷体_GB2312" w:eastAsia="楷体_GB2312" w:hAnsi="楷体_GB2312" w:cs="楷体_GB2312" w:hint="eastAsia"/>
          <w:sz w:val="28"/>
          <w:szCs w:val="28"/>
        </w:rPr>
        <w:t>34.38%</w:t>
      </w:r>
      <w:r>
        <w:rPr>
          <w:rFonts w:ascii="楷体_GB2312" w:eastAsia="楷体_GB2312" w:hAnsi="楷体_GB2312" w:cs="楷体_GB2312" w:hint="eastAsia"/>
          <w:sz w:val="28"/>
          <w:szCs w:val="28"/>
        </w:rPr>
        <w:t>）、单位类型（单位规模</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性质）（</w:t>
      </w:r>
      <w:r>
        <w:rPr>
          <w:rFonts w:ascii="楷体_GB2312" w:eastAsia="楷体_GB2312" w:hAnsi="楷体_GB2312" w:cs="楷体_GB2312" w:hint="eastAsia"/>
          <w:sz w:val="28"/>
          <w:szCs w:val="28"/>
        </w:rPr>
        <w:t>29.46%</w:t>
      </w:r>
      <w:r>
        <w:rPr>
          <w:rFonts w:ascii="楷体_GB2312" w:eastAsia="楷体_GB2312" w:hAnsi="楷体_GB2312" w:cs="楷体_GB2312" w:hint="eastAsia"/>
          <w:sz w:val="28"/>
          <w:szCs w:val="28"/>
        </w:rPr>
        <w:t>）等。毕业生职业期待吻合度较高的院系是医学部（五）（</w:t>
      </w:r>
      <w:r>
        <w:rPr>
          <w:rFonts w:ascii="楷体_GB2312" w:eastAsia="楷体_GB2312" w:hAnsi="楷体_GB2312" w:cs="楷体_GB2312" w:hint="eastAsia"/>
          <w:sz w:val="28"/>
          <w:szCs w:val="28"/>
        </w:rPr>
        <w:t>87.50%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，特别是医学影像学，职业期待吻合度达到</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p>
    <w:p w:rsidR="00000000" w:rsidRDefault="00BC53B5">
      <w:pPr>
        <w:jc w:val="right"/>
        <w:rPr>
          <w:rFonts w:hint="eastAsia"/>
          <w:b/>
          <w:sz w:val="18"/>
          <w:szCs w:val="18"/>
        </w:rPr>
      </w:pPr>
      <w:r>
        <w:rPr>
          <w:b/>
          <w:sz w:val="18"/>
          <w:szCs w:val="18"/>
        </w:rPr>
        <w:t>单位</w:t>
      </w:r>
      <w:r>
        <w:rPr>
          <w:rFonts w:hint="eastAsia"/>
          <w:b/>
          <w:sz w:val="18"/>
          <w:szCs w:val="18"/>
        </w:rPr>
        <w:t>：</w:t>
      </w:r>
      <w:r>
        <w:rPr>
          <w:rFonts w:ascii="Calibri" w:hAnsi="Calibri" w:cs="宋体"/>
          <w:b/>
          <w:bCs/>
          <w:color w:val="000000"/>
          <w:kern w:val="0"/>
          <w:sz w:val="18"/>
          <w:szCs w:val="18"/>
        </w:rPr>
        <w:t>%</w:t>
      </w:r>
    </w:p>
    <w:tbl>
      <w:tblPr>
        <w:tblW w:w="0" w:type="auto"/>
        <w:tblInd w:w="0" w:type="dxa"/>
        <w:tblLayout w:type="fixed"/>
        <w:tblLook w:val="0000"/>
      </w:tblPr>
      <w:tblGrid>
        <w:gridCol w:w="1879"/>
        <w:gridCol w:w="1793"/>
        <w:gridCol w:w="3416"/>
        <w:gridCol w:w="1802"/>
      </w:tblGrid>
      <w:tr w:rsidR="00000000">
        <w:trPr>
          <w:trHeight w:val="285"/>
          <w:tblHeader/>
        </w:trPr>
        <w:tc>
          <w:tcPr>
            <w:tcW w:w="1879" w:type="dxa"/>
            <w:tcBorders>
              <w:top w:val="single" w:sz="8" w:space="0" w:color="FFFFFF"/>
              <w:left w:val="single" w:sz="8" w:space="0" w:color="FFFFFF"/>
              <w:bottom w:val="nil"/>
              <w:right w:val="single" w:sz="8" w:space="0" w:color="FFFFFF"/>
            </w:tcBorders>
            <w:shd w:val="clear" w:color="000000" w:fill="8DB3E2"/>
            <w:vAlign w:val="center"/>
          </w:tcPr>
          <w:p w:rsidR="00000000" w:rsidRDefault="00BC53B5">
            <w:pPr>
              <w:widowControl/>
              <w:spacing w:line="320" w:lineRule="exact"/>
              <w:jc w:val="center"/>
              <w:rPr>
                <w:rFonts w:ascii="Calibri" w:hAnsi="Calibri"/>
                <w:b/>
                <w:bCs/>
                <w:color w:val="000000"/>
                <w:kern w:val="0"/>
                <w:sz w:val="20"/>
                <w:szCs w:val="20"/>
              </w:rPr>
            </w:pPr>
            <w:bookmarkStart w:id="0" w:name="分院系（专业）2016届本科生的职业期待吻合度"/>
            <w:bookmarkEnd w:id="0"/>
            <w:r>
              <w:rPr>
                <w:rFonts w:ascii="Calibri" w:hAnsi="Calibri"/>
                <w:b/>
                <w:bCs/>
                <w:color w:val="000000"/>
                <w:sz w:val="20"/>
                <w:szCs w:val="20"/>
              </w:rPr>
              <w:t>院系名称</w:t>
            </w:r>
          </w:p>
        </w:tc>
        <w:tc>
          <w:tcPr>
            <w:tcW w:w="1793" w:type="dxa"/>
            <w:tcBorders>
              <w:top w:val="single" w:sz="8" w:space="0" w:color="FFFFFF"/>
              <w:left w:val="nil"/>
              <w:bottom w:val="nil"/>
              <w:right w:val="single" w:sz="8" w:space="0" w:color="FFFFFF"/>
            </w:tcBorders>
            <w:shd w:val="clear" w:color="000000" w:fill="8DB3E2"/>
            <w:vAlign w:val="center"/>
          </w:tcPr>
          <w:p w:rsidR="00000000" w:rsidRDefault="00BC53B5">
            <w:pPr>
              <w:spacing w:line="320" w:lineRule="exact"/>
              <w:jc w:val="center"/>
              <w:rPr>
                <w:rFonts w:ascii="Calibri" w:hAnsi="Calibri"/>
                <w:b/>
                <w:bCs/>
                <w:color w:val="000000"/>
                <w:sz w:val="20"/>
                <w:szCs w:val="20"/>
              </w:rPr>
            </w:pPr>
            <w:r>
              <w:rPr>
                <w:rFonts w:ascii="Calibri" w:hAnsi="Calibri"/>
                <w:b/>
                <w:bCs/>
                <w:color w:val="000000"/>
                <w:sz w:val="20"/>
                <w:szCs w:val="20"/>
              </w:rPr>
              <w:t>各院系职业期待吻合度</w:t>
            </w:r>
          </w:p>
        </w:tc>
        <w:tc>
          <w:tcPr>
            <w:tcW w:w="3416" w:type="dxa"/>
            <w:tcBorders>
              <w:top w:val="single" w:sz="8" w:space="0" w:color="FFFFFF"/>
              <w:left w:val="nil"/>
              <w:bottom w:val="nil"/>
              <w:right w:val="single" w:sz="8" w:space="0" w:color="FFFFFF"/>
            </w:tcBorders>
            <w:shd w:val="clear" w:color="000000" w:fill="8DB3E2"/>
            <w:vAlign w:val="center"/>
          </w:tcPr>
          <w:p w:rsidR="00000000" w:rsidRDefault="00BC53B5">
            <w:pPr>
              <w:spacing w:line="320" w:lineRule="exact"/>
              <w:jc w:val="center"/>
              <w:rPr>
                <w:rFonts w:ascii="Calibri" w:hAnsi="Calibri"/>
                <w:b/>
                <w:bCs/>
                <w:color w:val="000000"/>
                <w:sz w:val="20"/>
                <w:szCs w:val="20"/>
              </w:rPr>
            </w:pPr>
            <w:r>
              <w:rPr>
                <w:rFonts w:ascii="Calibri" w:hAnsi="Calibri"/>
                <w:b/>
                <w:bCs/>
                <w:color w:val="000000"/>
                <w:sz w:val="20"/>
                <w:szCs w:val="20"/>
              </w:rPr>
              <w:t>专业名称</w:t>
            </w:r>
          </w:p>
        </w:tc>
        <w:tc>
          <w:tcPr>
            <w:tcW w:w="1802" w:type="dxa"/>
            <w:tcBorders>
              <w:top w:val="single" w:sz="8" w:space="0" w:color="FFFFFF"/>
              <w:left w:val="nil"/>
              <w:bottom w:val="nil"/>
              <w:right w:val="single" w:sz="8" w:space="0" w:color="FFFFFF"/>
            </w:tcBorders>
            <w:shd w:val="clear" w:color="000000" w:fill="8DB3E2"/>
            <w:vAlign w:val="center"/>
          </w:tcPr>
          <w:p w:rsidR="00000000" w:rsidRDefault="00BC53B5">
            <w:pPr>
              <w:spacing w:line="320" w:lineRule="exact"/>
              <w:jc w:val="center"/>
              <w:rPr>
                <w:rFonts w:ascii="Calibri" w:hAnsi="Calibri"/>
                <w:b/>
                <w:bCs/>
                <w:color w:val="000000"/>
                <w:sz w:val="20"/>
                <w:szCs w:val="20"/>
              </w:rPr>
            </w:pPr>
            <w:r>
              <w:rPr>
                <w:rFonts w:ascii="Calibri" w:hAnsi="Calibri"/>
                <w:b/>
                <w:bCs/>
                <w:color w:val="000000"/>
                <w:sz w:val="20"/>
                <w:szCs w:val="20"/>
              </w:rPr>
              <w:t>各专业职业期待吻合度</w:t>
            </w:r>
          </w:p>
        </w:tc>
      </w:tr>
      <w:tr w:rsidR="00000000">
        <w:trPr>
          <w:trHeight w:val="285"/>
        </w:trPr>
        <w:tc>
          <w:tcPr>
            <w:tcW w:w="1879" w:type="dxa"/>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医学部（五）</w:t>
            </w:r>
          </w:p>
        </w:tc>
        <w:tc>
          <w:tcPr>
            <w:tcW w:w="1793" w:type="dxa"/>
            <w:tcBorders>
              <w:top w:val="single" w:sz="8" w:space="0" w:color="FFFFFF"/>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87.50</w:t>
            </w:r>
          </w:p>
        </w:tc>
        <w:tc>
          <w:tcPr>
            <w:tcW w:w="3416" w:type="dxa"/>
            <w:tcBorders>
              <w:top w:val="single" w:sz="8" w:space="0" w:color="FFFFFF"/>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临床医学</w:t>
            </w:r>
          </w:p>
        </w:tc>
        <w:tc>
          <w:tcPr>
            <w:tcW w:w="1802" w:type="dxa"/>
            <w:tcBorders>
              <w:top w:val="single" w:sz="8" w:space="0" w:color="FFFFFF"/>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87.50</w:t>
            </w:r>
          </w:p>
        </w:tc>
      </w:tr>
      <w:tr w:rsidR="00000000">
        <w:trPr>
          <w:trHeight w:val="285"/>
        </w:trPr>
        <w:tc>
          <w:tcPr>
            <w:tcW w:w="1879"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医学部</w:t>
            </w:r>
            <w:r>
              <w:rPr>
                <w:rFonts w:ascii="Calibri" w:hAnsi="Calibri"/>
                <w:color w:val="000000"/>
                <w:sz w:val="20"/>
                <w:szCs w:val="20"/>
              </w:rPr>
              <w:t>(</w:t>
            </w:r>
            <w:r>
              <w:rPr>
                <w:rFonts w:ascii="Calibri" w:hAnsi="Calibri"/>
                <w:color w:val="000000"/>
                <w:sz w:val="20"/>
                <w:szCs w:val="20"/>
              </w:rPr>
              <w:t>四）</w:t>
            </w:r>
          </w:p>
        </w:tc>
        <w:tc>
          <w:tcPr>
            <w:tcW w:w="1793"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81.72</w:t>
            </w: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医学影像学</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护理学</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84.31</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医学检验</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62.50</w:t>
            </w:r>
          </w:p>
        </w:tc>
      </w:tr>
      <w:tr w:rsidR="00000000">
        <w:trPr>
          <w:trHeight w:val="285"/>
        </w:trPr>
        <w:tc>
          <w:tcPr>
            <w:tcW w:w="1879" w:type="dxa"/>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信息科学部</w:t>
            </w:r>
          </w:p>
        </w:tc>
        <w:tc>
          <w:tcPr>
            <w:tcW w:w="1793"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78.13</w:t>
            </w: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 xml:space="preserve">　</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 xml:space="preserve">　</w:t>
            </w:r>
          </w:p>
        </w:tc>
      </w:tr>
      <w:tr w:rsidR="00000000">
        <w:trPr>
          <w:trHeight w:val="285"/>
        </w:trPr>
        <w:tc>
          <w:tcPr>
            <w:tcW w:w="1879"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工程学部</w:t>
            </w:r>
          </w:p>
        </w:tc>
        <w:tc>
          <w:tcPr>
            <w:tcW w:w="1793"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68.37</w:t>
            </w: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服装设计与工程</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83.87</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化学工程与工</w:t>
            </w:r>
            <w:r>
              <w:rPr>
                <w:rFonts w:ascii="Calibri" w:hAnsi="Calibri"/>
                <w:color w:val="000000"/>
                <w:sz w:val="20"/>
                <w:szCs w:val="20"/>
              </w:rPr>
              <w:t>艺</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77.78</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服装设计与工程（服装艺术设计）</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75.00</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纺织工程（纺织品检验与贸易）</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73.08</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土木工程</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67.65</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机械工程及自动化</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57.69</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工程管理</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48.15</w:t>
            </w:r>
          </w:p>
        </w:tc>
      </w:tr>
      <w:tr w:rsidR="00000000">
        <w:trPr>
          <w:trHeight w:val="285"/>
        </w:trPr>
        <w:tc>
          <w:tcPr>
            <w:tcW w:w="1879"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lastRenderedPageBreak/>
              <w:t>理学部</w:t>
            </w:r>
          </w:p>
        </w:tc>
        <w:tc>
          <w:tcPr>
            <w:tcW w:w="1793"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67.39</w:t>
            </w: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统计学（金融统计）</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82.61</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应用心理学</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43.75</w:t>
            </w:r>
          </w:p>
        </w:tc>
      </w:tr>
      <w:tr w:rsidR="00000000">
        <w:trPr>
          <w:trHeight w:val="285"/>
        </w:trPr>
        <w:tc>
          <w:tcPr>
            <w:tcW w:w="1879"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人文学部</w:t>
            </w:r>
          </w:p>
        </w:tc>
        <w:tc>
          <w:tcPr>
            <w:tcW w:w="1793"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66.00</w:t>
            </w: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英语（商务英语）</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74.07</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日语（商务日语）</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72.73</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动画</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72.22</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汉语言文学（高级文秘）</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70.00</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汉语言文学（新闻传媒与文化创意）</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65.00</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艺术设计</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57.89</w:t>
            </w:r>
          </w:p>
        </w:tc>
      </w:tr>
      <w:tr w:rsidR="00000000">
        <w:trPr>
          <w:trHeight w:val="285"/>
        </w:trPr>
        <w:tc>
          <w:tcPr>
            <w:tcW w:w="1879"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经济与管理学部</w:t>
            </w:r>
          </w:p>
        </w:tc>
        <w:tc>
          <w:tcPr>
            <w:tcW w:w="1793"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59.15</w:t>
            </w: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行政管理</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63.41</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国际经济与贸易</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60.00</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会计学</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57.14</w:t>
            </w:r>
          </w:p>
        </w:tc>
      </w:tr>
      <w:tr w:rsidR="00000000">
        <w:trPr>
          <w:trHeight w:val="285"/>
        </w:trPr>
        <w:tc>
          <w:tcPr>
            <w:tcW w:w="1879"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179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41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市场营销（物流管理）</w:t>
            </w:r>
          </w:p>
        </w:tc>
        <w:tc>
          <w:tcPr>
            <w:tcW w:w="1802"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50.00</w:t>
            </w:r>
          </w:p>
        </w:tc>
      </w:tr>
      <w:tr w:rsidR="00000000">
        <w:trPr>
          <w:trHeight w:val="285"/>
        </w:trPr>
        <w:tc>
          <w:tcPr>
            <w:tcW w:w="1879" w:type="dxa"/>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b/>
                <w:bCs/>
                <w:color w:val="000000"/>
                <w:sz w:val="20"/>
                <w:szCs w:val="20"/>
              </w:rPr>
            </w:pPr>
            <w:r>
              <w:rPr>
                <w:rFonts w:ascii="Calibri" w:hAnsi="Calibri"/>
                <w:b/>
                <w:bCs/>
                <w:color w:val="000000"/>
                <w:sz w:val="20"/>
                <w:szCs w:val="20"/>
              </w:rPr>
              <w:t>本校本科平均</w:t>
            </w:r>
          </w:p>
        </w:tc>
        <w:tc>
          <w:tcPr>
            <w:tcW w:w="1793"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b/>
                <w:bCs/>
                <w:color w:val="000000"/>
                <w:sz w:val="20"/>
                <w:szCs w:val="20"/>
              </w:rPr>
            </w:pPr>
            <w:r>
              <w:rPr>
                <w:rFonts w:ascii="Calibri" w:hAnsi="Calibri"/>
                <w:b/>
                <w:bCs/>
                <w:color w:val="000000"/>
                <w:sz w:val="20"/>
                <w:szCs w:val="20"/>
              </w:rPr>
              <w:t>70.95</w:t>
            </w:r>
          </w:p>
        </w:tc>
        <w:tc>
          <w:tcPr>
            <w:tcW w:w="341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b/>
                <w:bCs/>
                <w:color w:val="000000"/>
                <w:sz w:val="20"/>
                <w:szCs w:val="20"/>
              </w:rPr>
            </w:pPr>
            <w:r>
              <w:rPr>
                <w:rFonts w:ascii="Calibri" w:hAnsi="Calibri"/>
                <w:b/>
                <w:bCs/>
                <w:color w:val="000000"/>
                <w:sz w:val="20"/>
                <w:szCs w:val="20"/>
              </w:rPr>
              <w:t>本校本科平均</w:t>
            </w:r>
          </w:p>
        </w:tc>
        <w:tc>
          <w:tcPr>
            <w:tcW w:w="1802"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b/>
                <w:bCs/>
                <w:color w:val="000000"/>
                <w:sz w:val="20"/>
                <w:szCs w:val="20"/>
              </w:rPr>
            </w:pPr>
            <w:r>
              <w:rPr>
                <w:rFonts w:ascii="Calibri" w:hAnsi="Calibri"/>
                <w:b/>
                <w:bCs/>
                <w:color w:val="000000"/>
                <w:sz w:val="20"/>
                <w:szCs w:val="20"/>
              </w:rPr>
              <w:t>70.95</w:t>
            </w:r>
          </w:p>
        </w:tc>
      </w:tr>
    </w:tbl>
    <w:p w:rsidR="00000000" w:rsidRDefault="00BC53B5">
      <w:pPr>
        <w:spacing w:line="480" w:lineRule="auto"/>
        <w:ind w:firstLineChars="200" w:firstLine="560"/>
        <w:jc w:val="center"/>
        <w:rPr>
          <w:rFonts w:ascii="楷体_GB2312" w:eastAsia="楷体_GB2312" w:hAnsi="楷体_GB2312" w:cs="楷体_GB2312" w:hint="eastAsia"/>
          <w:sz w:val="28"/>
          <w:szCs w:val="28"/>
        </w:rPr>
      </w:pPr>
      <w:bookmarkStart w:id="1" w:name="_Toc468717550"/>
      <w:r>
        <w:rPr>
          <w:rFonts w:ascii="楷体_GB2312" w:eastAsia="楷体_GB2312" w:hAnsi="楷体_GB2312" w:cs="楷体_GB2312" w:hint="eastAsia"/>
          <w:sz w:val="28"/>
          <w:szCs w:val="28"/>
        </w:rPr>
        <w:t>表</w:t>
      </w:r>
      <w:r>
        <w:rPr>
          <w:rFonts w:ascii="楷体_GB2312" w:eastAsia="楷体_GB2312" w:hAnsi="楷体_GB2312" w:cs="楷体_GB2312" w:hint="eastAsia"/>
          <w:sz w:val="28"/>
          <w:szCs w:val="28"/>
        </w:rPr>
        <w:t xml:space="preserve"> 3-1  </w:t>
      </w:r>
      <w:r>
        <w:rPr>
          <w:rFonts w:ascii="楷体_GB2312" w:eastAsia="楷体_GB2312" w:hAnsi="楷体_GB2312" w:cs="楷体_GB2312" w:hint="eastAsia"/>
          <w:sz w:val="28"/>
          <w:szCs w:val="28"/>
        </w:rPr>
        <w:t>2016</w:t>
      </w:r>
      <w:r>
        <w:rPr>
          <w:rFonts w:ascii="楷体_GB2312" w:eastAsia="楷体_GB2312" w:hAnsi="楷体_GB2312" w:cs="楷体_GB2312" w:hint="eastAsia"/>
          <w:sz w:val="28"/>
          <w:szCs w:val="28"/>
        </w:rPr>
        <w:t>届毕业生的职业期待吻合度</w:t>
      </w:r>
      <w:bookmarkEnd w:id="1"/>
    </w:p>
    <w:p w:rsidR="00000000" w:rsidRDefault="00BC53B5">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二、用人单位对毕业生的评价</w:t>
      </w:r>
    </w:p>
    <w:p w:rsidR="00000000" w:rsidRDefault="00BC53B5">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（一）用人单位对我院毕业生的总体满意度</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调查发现，</w:t>
      </w:r>
      <w:r>
        <w:rPr>
          <w:rFonts w:ascii="楷体_GB2312" w:eastAsia="楷体_GB2312" w:hAnsi="楷体_GB2312" w:cs="楷体_GB2312" w:hint="eastAsia"/>
          <w:sz w:val="28"/>
          <w:szCs w:val="28"/>
        </w:rPr>
        <w:t>94.73%</w:t>
      </w:r>
      <w:r>
        <w:rPr>
          <w:rFonts w:ascii="楷体_GB2312" w:eastAsia="楷体_GB2312" w:hAnsi="楷体_GB2312" w:cs="楷体_GB2312" w:hint="eastAsia"/>
          <w:sz w:val="28"/>
          <w:szCs w:val="28"/>
        </w:rPr>
        <w:t>的用人单位对我院毕业生表示“很满意”、“满意”或“较满意”，可见我院毕业生得到用人单位的充分认可（见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3-3</w:t>
      </w:r>
      <w:r>
        <w:rPr>
          <w:rFonts w:ascii="楷体_GB2312" w:eastAsia="楷体_GB2312" w:hAnsi="楷体_GB2312" w:cs="楷体_GB2312" w:hint="eastAsia"/>
          <w:sz w:val="28"/>
          <w:szCs w:val="28"/>
        </w:rPr>
        <w:t>）。</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267200" cy="2743835"/>
            <wp:effectExtent l="4445" t="4445" r="14605" b="13970"/>
            <wp:docPr id="20" name="对象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BC53B5">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3-3  </w:t>
      </w:r>
      <w:r>
        <w:rPr>
          <w:rFonts w:ascii="楷体_GB2312" w:eastAsia="楷体_GB2312" w:hAnsi="楷体_GB2312" w:cs="楷体_GB2312" w:hint="eastAsia"/>
          <w:b/>
          <w:bCs/>
          <w:sz w:val="28"/>
          <w:szCs w:val="28"/>
        </w:rPr>
        <w:t>用人单位对我院毕业生总体满意度</w:t>
      </w:r>
    </w:p>
    <w:p w:rsidR="00000000" w:rsidRDefault="00BC53B5">
      <w:pPr>
        <w:spacing w:line="480" w:lineRule="auto"/>
        <w:ind w:left="420"/>
        <w:jc w:val="center"/>
        <w:rPr>
          <w:rFonts w:ascii="楷体_GB2312" w:eastAsia="楷体_GB2312" w:hAnsi="楷体_GB2312" w:cs="楷体_GB2312"/>
          <w:b/>
          <w:bCs/>
          <w:sz w:val="28"/>
          <w:szCs w:val="28"/>
        </w:rPr>
      </w:pPr>
    </w:p>
    <w:p w:rsidR="00000000" w:rsidRDefault="00BC53B5">
      <w:pPr>
        <w:spacing w:line="480" w:lineRule="auto"/>
        <w:ind w:left="420"/>
        <w:jc w:val="center"/>
        <w:rPr>
          <w:rFonts w:ascii="楷体_GB2312" w:eastAsia="楷体_GB2312" w:hAnsi="楷体_GB2312" w:cs="楷体_GB2312"/>
          <w:b/>
          <w:bCs/>
          <w:sz w:val="28"/>
          <w:szCs w:val="28"/>
        </w:rPr>
      </w:pPr>
    </w:p>
    <w:p w:rsidR="00000000" w:rsidRDefault="00BC53B5">
      <w:pPr>
        <w:numPr>
          <w:ilvl w:val="0"/>
          <w:numId w:val="7"/>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用人单位对我院毕业生素质的评价</w:t>
      </w:r>
    </w:p>
    <w:p w:rsidR="00000000" w:rsidRDefault="00BC53B5">
      <w:pPr>
        <w:spacing w:line="480" w:lineRule="auto"/>
        <w:jc w:val="left"/>
        <w:rPr>
          <w:rFonts w:ascii="楷体_GB2312" w:eastAsia="楷体_GB2312" w:hAnsi="楷体_GB2312" w:cs="楷体_GB2312"/>
          <w:bCs/>
          <w:sz w:val="32"/>
          <w:szCs w:val="32"/>
        </w:rPr>
      </w:pPr>
      <w:r>
        <w:rPr>
          <w:rFonts w:ascii="楷体_GB2312" w:eastAsia="楷体_GB2312" w:hAnsi="楷体_GB2312" w:cs="楷体_GB2312" w:hint="eastAsia"/>
          <w:bCs/>
          <w:sz w:val="32"/>
          <w:szCs w:val="32"/>
        </w:rPr>
        <w:t xml:space="preserve">   </w:t>
      </w:r>
      <w:r>
        <w:rPr>
          <w:rFonts w:ascii="楷体_GB2312" w:eastAsia="楷体_GB2312" w:hAnsi="楷体_GB2312" w:cs="楷体_GB2312" w:hint="eastAsia"/>
          <w:bCs/>
          <w:sz w:val="32"/>
          <w:szCs w:val="32"/>
        </w:rPr>
        <w:t>用人单位对我院毕业生素质表示“很满意”和“满意”的比例达</w:t>
      </w:r>
      <w:r>
        <w:rPr>
          <w:rFonts w:ascii="楷体_GB2312" w:eastAsia="楷体_GB2312" w:hAnsi="楷体_GB2312" w:cs="楷体_GB2312" w:hint="eastAsia"/>
          <w:bCs/>
          <w:sz w:val="32"/>
          <w:szCs w:val="32"/>
        </w:rPr>
        <w:t>94%</w:t>
      </w:r>
      <w:r>
        <w:rPr>
          <w:rFonts w:ascii="楷体_GB2312" w:eastAsia="楷体_GB2312" w:hAnsi="楷体_GB2312" w:cs="楷体_GB2312" w:hint="eastAsia"/>
          <w:bCs/>
          <w:sz w:val="32"/>
          <w:szCs w:val="32"/>
        </w:rPr>
        <w:t>以上。其中</w:t>
      </w:r>
      <w:r>
        <w:rPr>
          <w:rFonts w:ascii="楷体_GB2312" w:eastAsia="楷体_GB2312" w:hAnsi="楷体_GB2312" w:cs="楷体_GB2312" w:hint="eastAsia"/>
          <w:bCs/>
          <w:sz w:val="32"/>
          <w:szCs w:val="32"/>
        </w:rPr>
        <w:t>,</w:t>
      </w:r>
      <w:r>
        <w:rPr>
          <w:rFonts w:ascii="楷体_GB2312" w:eastAsia="楷体_GB2312" w:hAnsi="楷体_GB2312" w:cs="楷体_GB2312" w:hint="eastAsia"/>
          <w:bCs/>
          <w:sz w:val="32"/>
          <w:szCs w:val="32"/>
        </w:rPr>
        <w:t>对综合素质和职业素质评价满意度达</w:t>
      </w:r>
      <w:r>
        <w:rPr>
          <w:rFonts w:ascii="楷体_GB2312" w:eastAsia="楷体_GB2312" w:hAnsi="楷体_GB2312" w:cs="楷体_GB2312" w:hint="eastAsia"/>
          <w:bCs/>
          <w:sz w:val="32"/>
          <w:szCs w:val="32"/>
        </w:rPr>
        <w:t xml:space="preserve">100% </w:t>
      </w:r>
      <w:r>
        <w:rPr>
          <w:rFonts w:ascii="楷体_GB2312" w:eastAsia="楷体_GB2312" w:hAnsi="楷体_GB2312" w:cs="楷体_GB2312" w:hint="eastAsia"/>
          <w:bCs/>
          <w:sz w:val="32"/>
          <w:szCs w:val="32"/>
        </w:rPr>
        <w:t>（见</w:t>
      </w:r>
      <w:r>
        <w:rPr>
          <w:rFonts w:ascii="楷体_GB2312" w:eastAsia="楷体_GB2312" w:hAnsi="楷体_GB2312" w:cs="楷体_GB2312" w:hint="eastAsia"/>
          <w:b/>
          <w:bCs/>
          <w:sz w:val="32"/>
          <w:szCs w:val="32"/>
        </w:rPr>
        <w:t>表</w:t>
      </w:r>
      <w:r>
        <w:rPr>
          <w:rFonts w:ascii="楷体_GB2312" w:eastAsia="楷体_GB2312" w:hAnsi="楷体_GB2312" w:cs="楷体_GB2312" w:hint="eastAsia"/>
          <w:b/>
          <w:bCs/>
          <w:sz w:val="32"/>
          <w:szCs w:val="32"/>
        </w:rPr>
        <w:t>3-1</w:t>
      </w:r>
      <w:r>
        <w:rPr>
          <w:rFonts w:ascii="楷体_GB2312" w:eastAsia="楷体_GB2312" w:hAnsi="楷体_GB2312" w:cs="楷体_GB2312" w:hint="eastAsia"/>
          <w:bCs/>
          <w:sz w:val="32"/>
          <w:szCs w:val="32"/>
        </w:rPr>
        <w:t>）。</w:t>
      </w:r>
    </w:p>
    <w:p w:rsidR="00000000" w:rsidRDefault="00BC53B5">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3-1</w:t>
      </w:r>
      <w:r>
        <w:rPr>
          <w:rFonts w:ascii="楷体_GB2312" w:eastAsia="楷体_GB2312" w:hAnsi="楷体_GB2312" w:cs="楷体_GB2312" w:hint="eastAsia"/>
          <w:b/>
          <w:bCs/>
          <w:sz w:val="28"/>
          <w:szCs w:val="28"/>
        </w:rPr>
        <w:t>用人单位对我院毕业生素质满意度统计</w:t>
      </w:r>
    </w:p>
    <w:tbl>
      <w:tblPr>
        <w:tblW w:w="0" w:type="auto"/>
        <w:tblInd w:w="0" w:type="dxa"/>
        <w:tblBorders>
          <w:top w:val="single" w:sz="8" w:space="0" w:color="4F81BD"/>
          <w:bottom w:val="single" w:sz="8" w:space="0" w:color="4F81BD"/>
        </w:tblBorders>
        <w:tblLayout w:type="fixed"/>
        <w:tblLook w:val="0000"/>
      </w:tblPr>
      <w:tblGrid>
        <w:gridCol w:w="1704"/>
        <w:gridCol w:w="1704"/>
        <w:gridCol w:w="1704"/>
        <w:gridCol w:w="1705"/>
        <w:gridCol w:w="1705"/>
      </w:tblGrid>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bookmarkStart w:id="2" w:name="OLE_LINK1" w:colFirst="0" w:colLast="4"/>
            <w:r>
              <w:rPr>
                <w:rFonts w:ascii="楷体_GB2312" w:eastAsia="楷体_GB2312" w:hAnsi="宋体" w:cs="楷体_GB2312" w:hint="eastAsia"/>
                <w:b/>
                <w:kern w:val="0"/>
                <w:sz w:val="28"/>
                <w:szCs w:val="28"/>
                <w:lang/>
              </w:rPr>
              <w:t>项目</w:t>
            </w:r>
          </w:p>
        </w:tc>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很满意</w:t>
            </w:r>
          </w:p>
        </w:tc>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满意</w:t>
            </w:r>
          </w:p>
        </w:tc>
        <w:tc>
          <w:tcPr>
            <w:tcW w:w="1705"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基本满意</w:t>
            </w:r>
          </w:p>
        </w:tc>
        <w:tc>
          <w:tcPr>
            <w:tcW w:w="1705"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不满意</w:t>
            </w:r>
          </w:p>
        </w:tc>
      </w:tr>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综合素质</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57.14%</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42.86%</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思想素质</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40.00%</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57.20%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2.80%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文化素质</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40.01%</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54.29%</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专业素质</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50.00%</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w:t>
            </w:r>
            <w:r>
              <w:rPr>
                <w:rFonts w:ascii="楷体_GB2312" w:eastAsia="楷体_GB2312" w:hAnsi="宋体" w:cs="楷体_GB2312" w:hint="eastAsia"/>
                <w:kern w:val="0"/>
                <w:sz w:val="28"/>
                <w:szCs w:val="28"/>
                <w:lang/>
              </w:rPr>
              <w:t>4.30%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5.70%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身心素质</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51.43%</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45.77%</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2.80%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r w:rsidR="00000000">
        <w:tc>
          <w:tcPr>
            <w:tcW w:w="1704" w:type="dxa"/>
          </w:tcPr>
          <w:p w:rsidR="00000000" w:rsidRDefault="00BC53B5">
            <w:pPr>
              <w:widowControl/>
              <w:jc w:val="center"/>
              <w:textAlignment w:val="top"/>
              <w:rPr>
                <w:rFonts w:ascii="楷体_GB2312" w:eastAsia="楷体_GB2312" w:hAnsi="楷体_GB2312" w:cs="楷体_GB2312"/>
                <w:b/>
                <w:bCs/>
                <w:sz w:val="28"/>
                <w:szCs w:val="28"/>
              </w:rPr>
            </w:pPr>
            <w:r>
              <w:rPr>
                <w:rFonts w:ascii="楷体_GB2312" w:eastAsia="楷体_GB2312" w:hAnsi="宋体" w:cs="楷体_GB2312" w:hint="eastAsia"/>
                <w:b/>
                <w:kern w:val="0"/>
                <w:sz w:val="28"/>
                <w:szCs w:val="28"/>
                <w:lang/>
              </w:rPr>
              <w:t>职业素质</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54.29%</w:t>
            </w:r>
          </w:p>
        </w:tc>
        <w:tc>
          <w:tcPr>
            <w:tcW w:w="1704"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45.71%</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c>
          <w:tcPr>
            <w:tcW w:w="1705" w:type="dxa"/>
          </w:tcPr>
          <w:p w:rsidR="00000000" w:rsidRDefault="00BC53B5">
            <w:pPr>
              <w:widowControl/>
              <w:jc w:val="center"/>
              <w:textAlignment w:val="top"/>
              <w:rPr>
                <w:rFonts w:ascii="楷体_GB2312" w:eastAsia="楷体_GB2312" w:hAnsi="楷体_GB2312" w:cs="楷体_GB2312"/>
                <w:sz w:val="28"/>
                <w:szCs w:val="28"/>
              </w:rPr>
            </w:pPr>
            <w:r>
              <w:rPr>
                <w:rFonts w:ascii="楷体_GB2312" w:eastAsia="楷体_GB2312" w:hAnsi="宋体" w:cs="楷体_GB2312" w:hint="eastAsia"/>
                <w:kern w:val="0"/>
                <w:sz w:val="28"/>
                <w:szCs w:val="28"/>
                <w:lang/>
              </w:rPr>
              <w:t>0%</w:t>
            </w:r>
          </w:p>
        </w:tc>
      </w:tr>
    </w:tbl>
    <w:bookmarkEnd w:id="2"/>
    <w:p w:rsidR="00000000" w:rsidRDefault="00BC53B5">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（三）用人单位对毕业生职业相关能力的评价</w:t>
      </w:r>
    </w:p>
    <w:p w:rsidR="00000000" w:rsidRDefault="00BC53B5">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用人单位对于我院毕业生</w:t>
      </w:r>
      <w:r>
        <w:rPr>
          <w:rFonts w:ascii="楷体_GB2312" w:eastAsia="楷体_GB2312" w:hAnsi="楷体_GB2312" w:cs="楷体_GB2312" w:hint="eastAsia"/>
          <w:bCs/>
          <w:sz w:val="32"/>
          <w:szCs w:val="32"/>
        </w:rPr>
        <w:t>职</w:t>
      </w:r>
      <w:r>
        <w:rPr>
          <w:rFonts w:ascii="楷体_GB2312" w:eastAsia="楷体_GB2312" w:hAnsi="楷体_GB2312" w:cs="楷体_GB2312" w:hint="eastAsia"/>
          <w:sz w:val="28"/>
          <w:szCs w:val="28"/>
        </w:rPr>
        <w:t>业相关能力的认可度由高到低依次为：灵活应变能力、合作与协调能力、实践能力、管理能力、计算机水平、创新能力、外语水平、学习能力（见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3-4</w:t>
      </w:r>
      <w:r>
        <w:rPr>
          <w:rFonts w:ascii="楷体_GB2312" w:eastAsia="楷体_GB2312" w:hAnsi="楷体_GB2312" w:cs="楷体_GB2312" w:hint="eastAsia"/>
          <w:sz w:val="28"/>
          <w:szCs w:val="28"/>
        </w:rPr>
        <w:t>）。</w:t>
      </w:r>
    </w:p>
    <w:p w:rsidR="00000000" w:rsidRDefault="007546BB">
      <w:pPr>
        <w:spacing w:line="480" w:lineRule="auto"/>
        <w:ind w:firstLineChars="200" w:firstLine="420"/>
        <w:jc w:val="center"/>
        <w:rPr>
          <w:rFonts w:ascii="楷体_GB2312" w:eastAsia="楷体_GB2312" w:hAnsi="楷体_GB2312" w:cs="楷体_GB2312"/>
          <w:sz w:val="28"/>
          <w:szCs w:val="28"/>
        </w:rPr>
      </w:pPr>
      <w:r>
        <w:rPr>
          <w:noProof/>
        </w:rPr>
        <w:lastRenderedPageBreak/>
        <w:drawing>
          <wp:inline distT="0" distB="0" distL="0" distR="0">
            <wp:extent cx="5104765" cy="2743835"/>
            <wp:effectExtent l="4445" t="4445" r="15240" b="13970"/>
            <wp:docPr id="21" name="对象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BC53B5">
      <w:pPr>
        <w:spacing w:line="480" w:lineRule="auto"/>
        <w:ind w:left="420"/>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3-4  </w:t>
      </w:r>
      <w:r>
        <w:rPr>
          <w:rFonts w:ascii="楷体_GB2312" w:eastAsia="楷体_GB2312" w:hAnsi="楷体_GB2312" w:cs="楷体_GB2312" w:hint="eastAsia"/>
          <w:b/>
          <w:bCs/>
          <w:sz w:val="28"/>
          <w:szCs w:val="28"/>
        </w:rPr>
        <w:t>用人单位对我院毕业生职业相关能力的认可度</w:t>
      </w: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hint="eastAsia"/>
          <w:b/>
          <w:bCs/>
          <w:sz w:val="36"/>
          <w:szCs w:val="36"/>
        </w:rPr>
      </w:pPr>
    </w:p>
    <w:p w:rsidR="00000000" w:rsidRDefault="00BC53B5">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t>第四部分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就业对教育教学的反馈</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为建</w:t>
      </w:r>
      <w:r>
        <w:rPr>
          <w:rFonts w:ascii="楷体_GB2312" w:eastAsia="楷体_GB2312" w:hAnsi="楷体_GB2312" w:cs="楷体_GB2312" w:hint="eastAsia"/>
          <w:kern w:val="0"/>
          <w:sz w:val="28"/>
          <w:szCs w:val="28"/>
        </w:rPr>
        <w:t>立和完善毕业生对人才培养的反馈机制，学院向应届毕业生发放调查问卷，了解他们对就业指导服务和人才培养工作的评价，以及对学院的满意度。</w:t>
      </w:r>
    </w:p>
    <w:p w:rsidR="00000000" w:rsidRDefault="00BC53B5">
      <w:pPr>
        <w:autoSpaceDE w:val="0"/>
        <w:autoSpaceDN w:val="0"/>
        <w:adjustRightInd w:val="0"/>
        <w:spacing w:line="520" w:lineRule="exact"/>
        <w:jc w:val="left"/>
        <w:rPr>
          <w:rFonts w:ascii="楷体_GB2312" w:eastAsia="楷体_GB2312" w:hAnsi="楷体_GB2312" w:cs="楷体_GB2312" w:hint="eastAsia"/>
          <w:b/>
          <w:kern w:val="0"/>
          <w:sz w:val="32"/>
          <w:szCs w:val="32"/>
        </w:rPr>
      </w:pPr>
      <w:r>
        <w:rPr>
          <w:rFonts w:ascii="楷体_GB2312" w:eastAsia="楷体_GB2312" w:hAnsi="楷体_GB2312" w:cs="楷体_GB2312" w:hint="eastAsia"/>
          <w:b/>
          <w:bCs/>
          <w:kern w:val="0"/>
          <w:sz w:val="32"/>
          <w:szCs w:val="32"/>
        </w:rPr>
        <w:lastRenderedPageBreak/>
        <w:t>一、</w:t>
      </w:r>
      <w:r>
        <w:rPr>
          <w:rFonts w:ascii="楷体_GB2312" w:eastAsia="楷体_GB2312" w:hAnsi="楷体_GB2312" w:cs="楷体_GB2312" w:hint="eastAsia"/>
          <w:b/>
          <w:kern w:val="0"/>
          <w:sz w:val="32"/>
          <w:szCs w:val="32"/>
        </w:rPr>
        <w:t>毕业生对母校的</w:t>
      </w:r>
      <w:r>
        <w:rPr>
          <w:rFonts w:ascii="楷体_GB2312" w:eastAsia="楷体_GB2312" w:hAnsi="楷体_GB2312" w:cs="楷体_GB2312" w:hint="eastAsia"/>
          <w:b/>
          <w:kern w:val="0"/>
          <w:sz w:val="32"/>
          <w:szCs w:val="32"/>
        </w:rPr>
        <w:t>满意度</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本校</w:t>
      </w: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届毕业生对母校的满意度为</w:t>
      </w:r>
      <w:r>
        <w:rPr>
          <w:rFonts w:ascii="楷体_GB2312" w:eastAsia="楷体_GB2312" w:hAnsi="楷体_GB2312" w:cs="楷体_GB2312" w:hint="eastAsia"/>
          <w:kern w:val="0"/>
          <w:sz w:val="28"/>
          <w:szCs w:val="28"/>
        </w:rPr>
        <w:t>97.41%</w:t>
      </w:r>
      <w:r>
        <w:rPr>
          <w:rFonts w:ascii="楷体_GB2312" w:eastAsia="楷体_GB2312" w:hAnsi="楷体_GB2312" w:cs="楷体_GB2312" w:hint="eastAsia"/>
          <w:kern w:val="0"/>
          <w:sz w:val="28"/>
          <w:szCs w:val="28"/>
        </w:rPr>
        <w:t>，各学部中，毕业生对母校的满意度较高的院系是经济与管理学部（</w:t>
      </w:r>
      <w:r>
        <w:rPr>
          <w:rFonts w:ascii="楷体_GB2312" w:eastAsia="楷体_GB2312" w:hAnsi="楷体_GB2312" w:cs="楷体_GB2312" w:hint="eastAsia"/>
          <w:kern w:val="0"/>
          <w:sz w:val="28"/>
          <w:szCs w:val="28"/>
        </w:rPr>
        <w:t>99.40%</w:t>
      </w:r>
      <w:r>
        <w:rPr>
          <w:rFonts w:ascii="楷体_GB2312" w:eastAsia="楷体_GB2312" w:hAnsi="楷体_GB2312" w:cs="楷体_GB2312" w:hint="eastAsia"/>
          <w:kern w:val="0"/>
          <w:sz w:val="28"/>
          <w:szCs w:val="28"/>
        </w:rPr>
        <w:t>），有国际经济与贸易、行政管理等</w:t>
      </w:r>
      <w:r>
        <w:rPr>
          <w:rFonts w:ascii="楷体_GB2312" w:eastAsia="楷体_GB2312" w:hAnsi="楷体_GB2312" w:cs="楷体_GB2312" w:hint="eastAsia"/>
          <w:kern w:val="0"/>
          <w:sz w:val="28"/>
          <w:szCs w:val="28"/>
        </w:rPr>
        <w:t>10</w:t>
      </w:r>
      <w:r>
        <w:rPr>
          <w:rFonts w:ascii="楷体_GB2312" w:eastAsia="楷体_GB2312" w:hAnsi="楷体_GB2312" w:cs="楷体_GB2312" w:hint="eastAsia"/>
          <w:kern w:val="0"/>
          <w:sz w:val="28"/>
          <w:szCs w:val="28"/>
        </w:rPr>
        <w:t>个专业的学生对母校的满意度为</w:t>
      </w:r>
      <w:r>
        <w:rPr>
          <w:rFonts w:ascii="楷体_GB2312" w:eastAsia="楷体_GB2312" w:hAnsi="楷体_GB2312" w:cs="楷体_GB2312" w:hint="eastAsia"/>
          <w:kern w:val="0"/>
          <w:sz w:val="28"/>
          <w:szCs w:val="28"/>
        </w:rPr>
        <w:t>100%</w:t>
      </w:r>
      <w:r>
        <w:rPr>
          <w:rFonts w:ascii="楷体_GB2312" w:eastAsia="楷体_GB2312" w:hAnsi="楷体_GB2312" w:cs="楷体_GB2312" w:hint="eastAsia"/>
          <w:kern w:val="0"/>
          <w:sz w:val="28"/>
          <w:szCs w:val="28"/>
        </w:rPr>
        <w:t>，学生对我院的整体满意度较高。</w:t>
      </w:r>
    </w:p>
    <w:p w:rsidR="00000000" w:rsidRDefault="00BC53B5">
      <w:pPr>
        <w:jc w:val="right"/>
      </w:pPr>
      <w:r>
        <w:rPr>
          <w:b/>
          <w:sz w:val="18"/>
          <w:szCs w:val="18"/>
        </w:rPr>
        <w:t>单位</w:t>
      </w:r>
      <w:r>
        <w:rPr>
          <w:rFonts w:hint="eastAsia"/>
          <w:b/>
          <w:sz w:val="18"/>
          <w:szCs w:val="18"/>
        </w:rPr>
        <w:t>：</w:t>
      </w:r>
      <w:r>
        <w:rPr>
          <w:rFonts w:ascii="Calibri" w:hAnsi="Calibri" w:cs="宋体" w:hint="eastAsia"/>
          <w:b/>
          <w:bCs/>
          <w:color w:val="000000"/>
          <w:kern w:val="0"/>
          <w:sz w:val="18"/>
          <w:szCs w:val="18"/>
        </w:rPr>
        <w:t>%</w:t>
      </w:r>
    </w:p>
    <w:tbl>
      <w:tblPr>
        <w:tblW w:w="0" w:type="auto"/>
        <w:tblInd w:w="0" w:type="dxa"/>
        <w:tblLayout w:type="fixed"/>
        <w:tblLook w:val="0000"/>
      </w:tblPr>
      <w:tblGrid>
        <w:gridCol w:w="1521"/>
        <w:gridCol w:w="2086"/>
        <w:gridCol w:w="3197"/>
        <w:gridCol w:w="2086"/>
      </w:tblGrid>
      <w:tr w:rsidR="00000000">
        <w:trPr>
          <w:trHeight w:val="285"/>
          <w:tblHeader/>
        </w:trPr>
        <w:tc>
          <w:tcPr>
            <w:tcW w:w="1521" w:type="dxa"/>
            <w:tcBorders>
              <w:top w:val="single" w:sz="8" w:space="0" w:color="FFFFFF"/>
              <w:left w:val="single" w:sz="8" w:space="0" w:color="FFFFFF"/>
              <w:bottom w:val="nil"/>
              <w:right w:val="single" w:sz="8" w:space="0" w:color="FFFFFF"/>
            </w:tcBorders>
            <w:shd w:val="clear" w:color="000000" w:fill="8DB3E2"/>
            <w:vAlign w:val="center"/>
          </w:tcPr>
          <w:p w:rsidR="00000000" w:rsidRDefault="00BC53B5">
            <w:pPr>
              <w:widowControl/>
              <w:spacing w:line="320" w:lineRule="exact"/>
              <w:jc w:val="center"/>
              <w:rPr>
                <w:rFonts w:ascii="Calibri" w:hAnsi="Calibri"/>
                <w:b/>
                <w:bCs/>
                <w:color w:val="000000"/>
                <w:kern w:val="0"/>
                <w:sz w:val="20"/>
                <w:szCs w:val="20"/>
              </w:rPr>
            </w:pPr>
            <w:bookmarkStart w:id="3" w:name="分院系（专业）2016届本科生对母校的满意度"/>
            <w:bookmarkEnd w:id="3"/>
            <w:r>
              <w:rPr>
                <w:rFonts w:hint="eastAsia"/>
                <w:b/>
                <w:bCs/>
                <w:color w:val="000000"/>
                <w:sz w:val="20"/>
                <w:szCs w:val="20"/>
              </w:rPr>
              <w:t>院系名称</w:t>
            </w:r>
          </w:p>
        </w:tc>
        <w:tc>
          <w:tcPr>
            <w:tcW w:w="2086" w:type="dxa"/>
            <w:tcBorders>
              <w:top w:val="single" w:sz="8" w:space="0" w:color="FFFFFF"/>
              <w:left w:val="nil"/>
              <w:bottom w:val="nil"/>
              <w:right w:val="single" w:sz="8" w:space="0" w:color="FFFFFF"/>
            </w:tcBorders>
            <w:shd w:val="clear" w:color="000000" w:fill="8DB3E2"/>
            <w:vAlign w:val="center"/>
          </w:tcPr>
          <w:p w:rsidR="00000000" w:rsidRDefault="00BC53B5">
            <w:pPr>
              <w:spacing w:line="320" w:lineRule="exact"/>
              <w:jc w:val="center"/>
              <w:rPr>
                <w:rFonts w:ascii="Calibri" w:hAnsi="Calibri"/>
                <w:b/>
                <w:bCs/>
                <w:color w:val="000000"/>
                <w:sz w:val="20"/>
                <w:szCs w:val="20"/>
              </w:rPr>
            </w:pPr>
            <w:r>
              <w:rPr>
                <w:rFonts w:hint="eastAsia"/>
                <w:b/>
                <w:bCs/>
                <w:color w:val="000000"/>
                <w:sz w:val="20"/>
                <w:szCs w:val="20"/>
              </w:rPr>
              <w:t>各院系对母校的满意度</w:t>
            </w:r>
          </w:p>
        </w:tc>
        <w:tc>
          <w:tcPr>
            <w:tcW w:w="3197" w:type="dxa"/>
            <w:tcBorders>
              <w:top w:val="single" w:sz="8" w:space="0" w:color="FFFFFF"/>
              <w:left w:val="nil"/>
              <w:bottom w:val="nil"/>
              <w:right w:val="single" w:sz="8" w:space="0" w:color="FFFFFF"/>
            </w:tcBorders>
            <w:shd w:val="clear" w:color="000000" w:fill="8DB3E2"/>
            <w:vAlign w:val="center"/>
          </w:tcPr>
          <w:p w:rsidR="00000000" w:rsidRDefault="00BC53B5">
            <w:pPr>
              <w:spacing w:line="320" w:lineRule="exact"/>
              <w:jc w:val="center"/>
              <w:rPr>
                <w:rFonts w:ascii="Calibri" w:hAnsi="Calibri"/>
                <w:b/>
                <w:bCs/>
                <w:color w:val="000000"/>
                <w:sz w:val="20"/>
                <w:szCs w:val="20"/>
              </w:rPr>
            </w:pPr>
            <w:r>
              <w:rPr>
                <w:rFonts w:hint="eastAsia"/>
                <w:b/>
                <w:bCs/>
                <w:color w:val="000000"/>
                <w:sz w:val="20"/>
                <w:szCs w:val="20"/>
              </w:rPr>
              <w:t>专业名称</w:t>
            </w:r>
          </w:p>
        </w:tc>
        <w:tc>
          <w:tcPr>
            <w:tcW w:w="2086" w:type="dxa"/>
            <w:tcBorders>
              <w:top w:val="single" w:sz="8" w:space="0" w:color="FFFFFF"/>
              <w:left w:val="nil"/>
              <w:bottom w:val="nil"/>
              <w:right w:val="single" w:sz="8" w:space="0" w:color="FFFFFF"/>
            </w:tcBorders>
            <w:shd w:val="clear" w:color="000000" w:fill="8DB3E2"/>
            <w:vAlign w:val="center"/>
          </w:tcPr>
          <w:p w:rsidR="00000000" w:rsidRDefault="00BC53B5">
            <w:pPr>
              <w:spacing w:line="320" w:lineRule="exact"/>
              <w:jc w:val="center"/>
              <w:rPr>
                <w:rFonts w:ascii="Calibri" w:hAnsi="Calibri"/>
                <w:b/>
                <w:bCs/>
                <w:color w:val="000000"/>
                <w:sz w:val="20"/>
                <w:szCs w:val="20"/>
              </w:rPr>
            </w:pPr>
            <w:r>
              <w:rPr>
                <w:rFonts w:hint="eastAsia"/>
                <w:b/>
                <w:bCs/>
                <w:color w:val="000000"/>
                <w:sz w:val="20"/>
                <w:szCs w:val="20"/>
              </w:rPr>
              <w:t>各专业对母校的满意度</w:t>
            </w:r>
          </w:p>
        </w:tc>
      </w:tr>
      <w:tr w:rsidR="00000000">
        <w:trPr>
          <w:trHeight w:val="285"/>
        </w:trPr>
        <w:tc>
          <w:tcPr>
            <w:tcW w:w="1521" w:type="dxa"/>
            <w:vMerge w:val="restart"/>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经济与管理学部</w:t>
            </w:r>
          </w:p>
        </w:tc>
        <w:tc>
          <w:tcPr>
            <w:tcW w:w="2086" w:type="dxa"/>
            <w:vMerge w:val="restart"/>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99.40</w:t>
            </w:r>
          </w:p>
        </w:tc>
        <w:tc>
          <w:tcPr>
            <w:tcW w:w="3197" w:type="dxa"/>
            <w:tcBorders>
              <w:top w:val="single" w:sz="8" w:space="0" w:color="FFFFFF"/>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国际经济与贸易</w:t>
            </w:r>
          </w:p>
        </w:tc>
        <w:tc>
          <w:tcPr>
            <w:tcW w:w="2086" w:type="dxa"/>
            <w:tcBorders>
              <w:top w:val="single" w:sz="8" w:space="0" w:color="FFFFFF"/>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w:t>
            </w:r>
            <w:r>
              <w:rPr>
                <w:rFonts w:ascii="Calibri" w:hAnsi="Calibri"/>
                <w:color w:val="000000"/>
                <w:sz w:val="20"/>
                <w:szCs w:val="20"/>
              </w:rPr>
              <w:t>0</w:t>
            </w:r>
          </w:p>
        </w:tc>
      </w:tr>
      <w:tr w:rsidR="00000000">
        <w:trPr>
          <w:trHeight w:val="285"/>
        </w:trPr>
        <w:tc>
          <w:tcPr>
            <w:tcW w:w="1521"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行政管理</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会计学</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市场营销（物流管理）</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市场营销</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93.75</w:t>
            </w:r>
          </w:p>
        </w:tc>
      </w:tr>
      <w:tr w:rsidR="00000000">
        <w:trPr>
          <w:trHeight w:val="285"/>
        </w:trPr>
        <w:tc>
          <w:tcPr>
            <w:tcW w:w="1521"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工程学部</w:t>
            </w:r>
          </w:p>
        </w:tc>
        <w:tc>
          <w:tcPr>
            <w:tcW w:w="2086"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98.76</w:t>
            </w: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服装设计与工程</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服装设计与工程（服装艺术设计）</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化学工程与工艺</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轻化工程（染整工程）</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工程管理</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98.08</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纺织工程（纺织品检验与贸易）</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98.00</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机械工程及自动化</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97.96</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土木工程</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97.50</w:t>
            </w:r>
          </w:p>
        </w:tc>
      </w:tr>
      <w:tr w:rsidR="00000000">
        <w:trPr>
          <w:trHeight w:val="285"/>
        </w:trPr>
        <w:tc>
          <w:tcPr>
            <w:tcW w:w="1521"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理学部</w:t>
            </w:r>
          </w:p>
        </w:tc>
        <w:tc>
          <w:tcPr>
            <w:tcW w:w="2086"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97.18</w:t>
            </w: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应用心理学</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2086" w:type="dxa"/>
            <w:vMerge/>
            <w:tcBorders>
              <w:top w:val="nil"/>
              <w:left w:val="single" w:sz="8" w:space="0" w:color="FFFFFF"/>
              <w:bottom w:val="single" w:sz="8" w:space="0" w:color="FFFFFF"/>
              <w:right w:val="single" w:sz="8" w:space="0" w:color="FFFFFF"/>
            </w:tcBorders>
            <w:shd w:val="clear" w:color="auto" w:fill="auto"/>
            <w:vAlign w:val="center"/>
          </w:tcPr>
          <w:p w:rsidR="00000000" w:rsidRDefault="00BC53B5">
            <w:pPr>
              <w:spacing w:line="320" w:lineRule="exact"/>
              <w:rPr>
                <w:rFonts w:ascii="Calibri" w:hAnsi="Calibri" w:cs="宋体"/>
                <w:color w:val="000000"/>
                <w:sz w:val="20"/>
                <w:szCs w:val="20"/>
              </w:rPr>
            </w:pP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统</w:t>
            </w:r>
            <w:r>
              <w:rPr>
                <w:rFonts w:ascii="Calibri" w:hAnsi="Calibri"/>
                <w:color w:val="000000"/>
                <w:sz w:val="20"/>
                <w:szCs w:val="20"/>
              </w:rPr>
              <w:t>计学（金融统计）</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95.35</w:t>
            </w:r>
          </w:p>
        </w:tc>
      </w:tr>
      <w:tr w:rsidR="00000000">
        <w:trPr>
          <w:trHeight w:val="285"/>
        </w:trPr>
        <w:tc>
          <w:tcPr>
            <w:tcW w:w="1521" w:type="dxa"/>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医学部</w:t>
            </w:r>
            <w:r>
              <w:rPr>
                <w:rFonts w:ascii="Calibri" w:hAnsi="Calibri"/>
                <w:color w:val="000000"/>
                <w:sz w:val="20"/>
                <w:szCs w:val="20"/>
              </w:rPr>
              <w:t>(</w:t>
            </w:r>
            <w:r>
              <w:rPr>
                <w:rFonts w:ascii="Calibri" w:hAnsi="Calibri"/>
                <w:color w:val="000000"/>
                <w:sz w:val="20"/>
                <w:szCs w:val="20"/>
              </w:rPr>
              <w:t>四）</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96.77</w:t>
            </w: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护理学</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94.74</w:t>
            </w:r>
          </w:p>
        </w:tc>
      </w:tr>
      <w:tr w:rsidR="00000000">
        <w:trPr>
          <w:trHeight w:val="285"/>
        </w:trPr>
        <w:tc>
          <w:tcPr>
            <w:tcW w:w="1521" w:type="dxa"/>
            <w:tcBorders>
              <w:top w:val="nil"/>
              <w:left w:val="single" w:sz="8" w:space="0" w:color="FFFFFF"/>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医学部（五）</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95.77</w:t>
            </w:r>
          </w:p>
        </w:tc>
        <w:tc>
          <w:tcPr>
            <w:tcW w:w="3197"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临床医学</w:t>
            </w:r>
          </w:p>
        </w:tc>
        <w:tc>
          <w:tcPr>
            <w:tcW w:w="2086" w:type="dxa"/>
            <w:tcBorders>
              <w:top w:val="nil"/>
              <w:left w:val="nil"/>
              <w:bottom w:val="single" w:sz="8" w:space="0" w:color="FFFFFF"/>
              <w:right w:val="single" w:sz="8" w:space="0" w:color="FFFFFF"/>
            </w:tcBorders>
            <w:shd w:val="clear" w:color="000000" w:fill="F6F8FC"/>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95.77</w:t>
            </w:r>
          </w:p>
        </w:tc>
      </w:tr>
      <w:tr w:rsidR="00000000">
        <w:trPr>
          <w:trHeight w:val="285"/>
        </w:trPr>
        <w:tc>
          <w:tcPr>
            <w:tcW w:w="1521" w:type="dxa"/>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人文学部</w:t>
            </w:r>
          </w:p>
        </w:tc>
        <w:tc>
          <w:tcPr>
            <w:tcW w:w="2086" w:type="dxa"/>
            <w:tcBorders>
              <w:top w:val="nil"/>
              <w:left w:val="single" w:sz="8" w:space="0" w:color="FFFFFF"/>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95.65</w:t>
            </w: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left"/>
              <w:rPr>
                <w:rFonts w:ascii="Calibri" w:hAnsi="Calibri"/>
                <w:color w:val="000000"/>
                <w:sz w:val="20"/>
                <w:szCs w:val="20"/>
              </w:rPr>
            </w:pPr>
            <w:r>
              <w:rPr>
                <w:rFonts w:ascii="Calibri" w:hAnsi="Calibri"/>
                <w:color w:val="000000"/>
                <w:sz w:val="20"/>
                <w:szCs w:val="20"/>
              </w:rPr>
              <w:t>汉语言文学（高级文秘）</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521" w:type="dxa"/>
            <w:tcBorders>
              <w:top w:val="nil"/>
              <w:left w:val="single" w:sz="8" w:space="0" w:color="FFFFFF"/>
              <w:right w:val="single" w:sz="8" w:space="0" w:color="FFFFFF"/>
            </w:tcBorders>
            <w:shd w:val="clear" w:color="auto" w:fill="auto"/>
            <w:vAlign w:val="center"/>
          </w:tcPr>
          <w:p w:rsidR="00000000" w:rsidRDefault="00BC53B5">
            <w:pPr>
              <w:spacing w:line="320" w:lineRule="exact"/>
              <w:jc w:val="left"/>
              <w:rPr>
                <w:rFonts w:ascii="Calibri" w:hAnsi="Calibri" w:hint="eastAsia"/>
                <w:color w:val="000000"/>
                <w:sz w:val="20"/>
                <w:szCs w:val="20"/>
              </w:rPr>
            </w:pPr>
            <w:r>
              <w:rPr>
                <w:rFonts w:ascii="Calibri" w:hAnsi="Calibri" w:hint="eastAsia"/>
                <w:color w:val="000000"/>
                <w:sz w:val="20"/>
                <w:szCs w:val="20"/>
              </w:rPr>
              <w:t>信息科学部</w:t>
            </w:r>
          </w:p>
        </w:tc>
        <w:tc>
          <w:tcPr>
            <w:tcW w:w="2086" w:type="dxa"/>
            <w:tcBorders>
              <w:top w:val="nil"/>
              <w:left w:val="single" w:sz="8" w:space="0" w:color="FFFFFF"/>
              <w:right w:val="single" w:sz="8" w:space="0" w:color="FFFFFF"/>
            </w:tcBorders>
            <w:shd w:val="clear" w:color="auto" w:fill="auto"/>
            <w:vAlign w:val="center"/>
          </w:tcPr>
          <w:p w:rsidR="00000000" w:rsidRDefault="00BC53B5">
            <w:pPr>
              <w:spacing w:line="320" w:lineRule="exact"/>
              <w:jc w:val="center"/>
              <w:rPr>
                <w:rFonts w:ascii="Calibri" w:hAnsi="Calibri" w:hint="eastAsia"/>
                <w:color w:val="000000"/>
                <w:sz w:val="20"/>
                <w:szCs w:val="20"/>
              </w:rPr>
            </w:pPr>
            <w:r>
              <w:rPr>
                <w:rFonts w:ascii="Calibri" w:hAnsi="Calibri" w:hint="eastAsia"/>
                <w:color w:val="000000"/>
                <w:sz w:val="20"/>
                <w:szCs w:val="20"/>
              </w:rPr>
              <w:t>94.34</w:t>
            </w:r>
          </w:p>
        </w:tc>
        <w:tc>
          <w:tcPr>
            <w:tcW w:w="3197"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自动化</w:t>
            </w:r>
          </w:p>
        </w:tc>
        <w:tc>
          <w:tcPr>
            <w:tcW w:w="2086" w:type="dxa"/>
            <w:tcBorders>
              <w:top w:val="nil"/>
              <w:left w:val="nil"/>
              <w:bottom w:val="single" w:sz="8" w:space="0" w:color="FFFFFF"/>
              <w:right w:val="single" w:sz="8" w:space="0" w:color="FFFFFF"/>
            </w:tcBorders>
            <w:shd w:val="clear" w:color="000000" w:fill="C5D5E9"/>
            <w:vAlign w:val="center"/>
          </w:tcPr>
          <w:p w:rsidR="00000000" w:rsidRDefault="00BC53B5">
            <w:pPr>
              <w:spacing w:line="320" w:lineRule="exact"/>
              <w:jc w:val="center"/>
              <w:rPr>
                <w:rFonts w:ascii="Calibri" w:hAnsi="Calibri"/>
                <w:color w:val="000000"/>
                <w:sz w:val="20"/>
                <w:szCs w:val="20"/>
              </w:rPr>
            </w:pPr>
            <w:r>
              <w:rPr>
                <w:rFonts w:ascii="Calibri" w:hAnsi="Calibri"/>
                <w:color w:val="000000"/>
                <w:sz w:val="20"/>
                <w:szCs w:val="20"/>
              </w:rPr>
              <w:t>9</w:t>
            </w:r>
            <w:r>
              <w:rPr>
                <w:rFonts w:ascii="Calibri" w:hAnsi="Calibri" w:hint="eastAsia"/>
                <w:color w:val="000000"/>
                <w:sz w:val="20"/>
                <w:szCs w:val="20"/>
              </w:rPr>
              <w:t>4.34</w:t>
            </w:r>
          </w:p>
        </w:tc>
      </w:tr>
    </w:tbl>
    <w:p w:rsidR="00000000" w:rsidRDefault="00BC53B5">
      <w:pPr>
        <w:autoSpaceDE w:val="0"/>
        <w:autoSpaceDN w:val="0"/>
        <w:adjustRightInd w:val="0"/>
        <w:spacing w:line="480" w:lineRule="auto"/>
        <w:jc w:val="center"/>
        <w:rPr>
          <w:rFonts w:ascii="楷体_GB2312" w:eastAsia="楷体_GB2312" w:hAnsi="楷体_GB2312" w:cs="楷体_GB2312" w:hint="eastAsia"/>
          <w:b/>
          <w:bCs/>
          <w:sz w:val="28"/>
          <w:szCs w:val="28"/>
        </w:rPr>
      </w:pPr>
    </w:p>
    <w:p w:rsidR="00000000" w:rsidRDefault="00BC53B5">
      <w:pPr>
        <w:spacing w:line="480" w:lineRule="auto"/>
        <w:ind w:left="420"/>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4-1  201</w:t>
      </w:r>
      <w:r>
        <w:rPr>
          <w:rFonts w:ascii="楷体_GB2312" w:eastAsia="楷体_GB2312" w:hAnsi="楷体_GB2312" w:cs="楷体_GB2312" w:hint="eastAsia"/>
          <w:b/>
          <w:bCs/>
          <w:sz w:val="28"/>
          <w:szCs w:val="28"/>
        </w:rPr>
        <w:t>6</w:t>
      </w:r>
      <w:r>
        <w:rPr>
          <w:rFonts w:ascii="楷体_GB2312" w:eastAsia="楷体_GB2312" w:hAnsi="楷体_GB2312" w:cs="楷体_GB2312" w:hint="eastAsia"/>
          <w:b/>
          <w:bCs/>
          <w:sz w:val="28"/>
          <w:szCs w:val="28"/>
        </w:rPr>
        <w:t>届毕业生对</w:t>
      </w:r>
      <w:r>
        <w:rPr>
          <w:rFonts w:ascii="楷体_GB2312" w:eastAsia="楷体_GB2312" w:hAnsi="楷体_GB2312" w:cs="楷体_GB2312" w:hint="eastAsia"/>
          <w:b/>
          <w:bCs/>
          <w:sz w:val="28"/>
          <w:szCs w:val="28"/>
        </w:rPr>
        <w:t>母校的</w:t>
      </w:r>
      <w:r>
        <w:rPr>
          <w:rFonts w:ascii="楷体_GB2312" w:eastAsia="楷体_GB2312" w:hAnsi="楷体_GB2312" w:cs="楷体_GB2312" w:hint="eastAsia"/>
          <w:b/>
          <w:bCs/>
          <w:sz w:val="28"/>
          <w:szCs w:val="28"/>
        </w:rPr>
        <w:t>满意度</w:t>
      </w:r>
    </w:p>
    <w:p w:rsidR="00000000" w:rsidRDefault="00BC53B5">
      <w:pPr>
        <w:numPr>
          <w:ilvl w:val="0"/>
          <w:numId w:val="8"/>
        </w:numPr>
        <w:spacing w:line="480" w:lineRule="auto"/>
        <w:jc w:val="lef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对</w:t>
      </w:r>
      <w:r>
        <w:rPr>
          <w:rFonts w:ascii="楷体_GB2312" w:eastAsia="楷体_GB2312" w:hAnsi="楷体_GB2312" w:cs="楷体_GB2312" w:hint="eastAsia"/>
          <w:b/>
          <w:bCs/>
          <w:sz w:val="32"/>
          <w:szCs w:val="32"/>
        </w:rPr>
        <w:t>教育教学</w:t>
      </w:r>
      <w:r>
        <w:rPr>
          <w:rFonts w:ascii="楷体_GB2312" w:eastAsia="楷体_GB2312" w:hAnsi="楷体_GB2312" w:cs="楷体_GB2312" w:hint="eastAsia"/>
          <w:b/>
          <w:bCs/>
          <w:sz w:val="32"/>
          <w:szCs w:val="32"/>
        </w:rPr>
        <w:t>反馈</w:t>
      </w:r>
    </w:p>
    <w:p w:rsidR="00000000" w:rsidRDefault="00BC53B5">
      <w:pPr>
        <w:spacing w:line="480" w:lineRule="auto"/>
        <w:ind w:firstLine="480"/>
        <w:rPr>
          <w:rFonts w:ascii="楷体_GB2312" w:eastAsia="楷体_GB2312" w:hAnsi="楷体_GB2312" w:cs="楷体_GB2312" w:hint="eastAsia"/>
          <w:b/>
          <w:sz w:val="28"/>
          <w:szCs w:val="28"/>
        </w:rPr>
      </w:pP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（一）</w:t>
      </w:r>
      <w:r>
        <w:rPr>
          <w:rFonts w:ascii="楷体_GB2312" w:eastAsia="楷体_GB2312" w:hAnsi="楷体_GB2312" w:cs="楷体_GB2312" w:hint="eastAsia"/>
          <w:b/>
          <w:sz w:val="32"/>
          <w:szCs w:val="32"/>
        </w:rPr>
        <w:t>对学习环境评价</w:t>
      </w:r>
      <w:r>
        <w:rPr>
          <w:rFonts w:ascii="楷体_GB2312" w:eastAsia="楷体_GB2312" w:hAnsi="楷体_GB2312" w:cs="楷体_GB2312" w:hint="eastAsia"/>
          <w:sz w:val="28"/>
          <w:szCs w:val="28"/>
        </w:rPr>
        <w:t>（见</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4-</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w:t>
      </w:r>
      <w:r>
        <w:rPr>
          <w:rFonts w:ascii="楷体_GB2312" w:eastAsia="楷体_GB2312" w:hAnsi="楷体_GB2312" w:cs="楷体_GB2312" w:hint="eastAsia"/>
          <w:sz w:val="28"/>
          <w:szCs w:val="28"/>
        </w:rPr>
        <w:t>。</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学院</w:t>
      </w: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届毕业生对在校</w:t>
      </w:r>
      <w:r>
        <w:rPr>
          <w:rFonts w:ascii="楷体_GB2312" w:eastAsia="楷体_GB2312" w:hAnsi="楷体_GB2312" w:cs="楷体_GB2312" w:hint="eastAsia"/>
          <w:kern w:val="0"/>
          <w:sz w:val="28"/>
          <w:szCs w:val="28"/>
        </w:rPr>
        <w:t>学习环境</w:t>
      </w:r>
      <w:r>
        <w:rPr>
          <w:rFonts w:ascii="楷体_GB2312" w:eastAsia="楷体_GB2312" w:hAnsi="楷体_GB2312" w:cs="楷体_GB2312" w:hint="eastAsia"/>
          <w:kern w:val="0"/>
          <w:sz w:val="28"/>
          <w:szCs w:val="28"/>
        </w:rPr>
        <w:t>比较满意，整体</w:t>
      </w:r>
      <w:r>
        <w:rPr>
          <w:rFonts w:ascii="楷体_GB2312" w:eastAsia="楷体_GB2312" w:hAnsi="楷体_GB2312" w:cs="楷体_GB2312" w:hint="eastAsia"/>
          <w:kern w:val="0"/>
          <w:sz w:val="28"/>
          <w:szCs w:val="28"/>
        </w:rPr>
        <w:t>满意度为</w:t>
      </w:r>
      <w:r>
        <w:rPr>
          <w:rFonts w:ascii="楷体_GB2312" w:eastAsia="楷体_GB2312" w:hAnsi="楷体_GB2312" w:cs="楷体_GB2312" w:hint="eastAsia"/>
          <w:kern w:val="0"/>
          <w:sz w:val="28"/>
          <w:szCs w:val="28"/>
        </w:rPr>
        <w:t>92.53%</w:t>
      </w:r>
      <w:r>
        <w:rPr>
          <w:rFonts w:ascii="楷体_GB2312" w:eastAsia="楷体_GB2312" w:hAnsi="楷体_GB2312" w:cs="楷体_GB2312" w:hint="eastAsia"/>
          <w:kern w:val="0"/>
          <w:sz w:val="28"/>
          <w:szCs w:val="28"/>
        </w:rPr>
        <w:t>，当然，学生也希望学院在校园网络建设和教室设备与服务等</w:t>
      </w:r>
      <w:r>
        <w:rPr>
          <w:rFonts w:ascii="楷体_GB2312" w:eastAsia="楷体_GB2312" w:hAnsi="楷体_GB2312" w:cs="楷体_GB2312" w:hint="eastAsia"/>
          <w:kern w:val="0"/>
          <w:sz w:val="28"/>
          <w:szCs w:val="28"/>
        </w:rPr>
        <w:lastRenderedPageBreak/>
        <w:t>方面有所提高。</w:t>
      </w:r>
    </w:p>
    <w:p w:rsidR="00000000" w:rsidRDefault="00BC53B5">
      <w:pPr>
        <w:pStyle w:val="a7"/>
        <w:spacing w:line="360" w:lineRule="auto"/>
        <w:ind w:left="0"/>
        <w:rPr>
          <w:rFonts w:ascii="楷体_GB2312" w:eastAsia="楷体_GB2312" w:hAnsi="楷体_GB2312" w:cs="楷体_GB2312" w:hint="eastAsia"/>
          <w:bCs/>
          <w:sz w:val="28"/>
          <w:szCs w:val="28"/>
        </w:rPr>
      </w:pPr>
      <w:r>
        <w:rPr>
          <w:b w:val="0"/>
        </w:rPr>
        <w:object w:dxaOrig="8888" w:dyaOrig="4290">
          <v:shape id="对象 29" o:spid="_x0000_i1026" type="#_x0000_t75" style="width:444.75pt;height:214.5pt" o:ole="">
            <v:imagedata r:id="rId25" o:title=""/>
          </v:shape>
          <o:OLEObject Type="Embed" ProgID="Excel.Sheet.12" ShapeID="对象 29" DrawAspect="Content" ObjectID="_1598980185" r:id="rId26"/>
        </w:object>
      </w: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4-1 </w:t>
      </w:r>
      <w:bookmarkStart w:id="4" w:name="_Toc468717604"/>
      <w:r>
        <w:rPr>
          <w:rFonts w:ascii="楷体_GB2312" w:eastAsia="楷体_GB2312" w:hAnsi="楷体_GB2312" w:cs="楷体_GB2312" w:hint="eastAsia"/>
          <w:bCs/>
          <w:sz w:val="28"/>
          <w:szCs w:val="28"/>
        </w:rPr>
        <w:t>2016</w:t>
      </w:r>
      <w:r>
        <w:rPr>
          <w:rFonts w:ascii="楷体_GB2312" w:eastAsia="楷体_GB2312" w:hAnsi="楷体_GB2312" w:cs="楷体_GB2312" w:hint="eastAsia"/>
          <w:bCs/>
          <w:sz w:val="28"/>
          <w:szCs w:val="28"/>
        </w:rPr>
        <w:t>届毕业生对母校学习环境的满意度</w:t>
      </w:r>
      <w:bookmarkEnd w:id="4"/>
    </w:p>
    <w:p w:rsidR="00000000" w:rsidRDefault="00BC53B5">
      <w:pPr>
        <w:spacing w:line="480" w:lineRule="auto"/>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（二）</w:t>
      </w:r>
      <w:r>
        <w:rPr>
          <w:rFonts w:ascii="楷体_GB2312" w:eastAsia="楷体_GB2312" w:hAnsi="楷体_GB2312" w:cs="楷体_GB2312" w:hint="eastAsia"/>
          <w:b/>
          <w:sz w:val="32"/>
          <w:szCs w:val="32"/>
        </w:rPr>
        <w:t>课程教学评价</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届毕业生对母校</w:t>
      </w:r>
      <w:r>
        <w:rPr>
          <w:rFonts w:ascii="楷体_GB2312" w:eastAsia="楷体_GB2312" w:hAnsi="楷体_GB2312" w:cs="楷体_GB2312" w:hint="eastAsia"/>
          <w:kern w:val="0"/>
          <w:sz w:val="28"/>
          <w:szCs w:val="28"/>
        </w:rPr>
        <w:t>课程教学的总体满意度为</w:t>
      </w:r>
      <w:r>
        <w:rPr>
          <w:rFonts w:ascii="楷体_GB2312" w:eastAsia="楷体_GB2312" w:hAnsi="楷体_GB2312" w:cs="楷体_GB2312" w:hint="eastAsia"/>
          <w:kern w:val="0"/>
          <w:sz w:val="28"/>
          <w:szCs w:val="28"/>
        </w:rPr>
        <w:t>93.32%</w:t>
      </w:r>
      <w:r>
        <w:rPr>
          <w:rFonts w:ascii="楷体_GB2312" w:eastAsia="楷体_GB2312" w:hAnsi="楷体_GB2312" w:cs="楷体_GB2312" w:hint="eastAsia"/>
          <w:kern w:val="0"/>
          <w:sz w:val="28"/>
          <w:szCs w:val="28"/>
        </w:rPr>
        <w:t>，说明学生对我院的课程教育教学比较认可</w:t>
      </w:r>
      <w:r>
        <w:rPr>
          <w:rFonts w:ascii="楷体_GB2312" w:eastAsia="楷体_GB2312" w:hAnsi="楷体_GB2312" w:cs="楷体_GB2312" w:hint="eastAsia"/>
          <w:kern w:val="0"/>
          <w:sz w:val="28"/>
          <w:szCs w:val="28"/>
        </w:rPr>
        <w:t>。通过毕业生反馈也发现，学生认为母校</w:t>
      </w:r>
      <w:r>
        <w:rPr>
          <w:rFonts w:ascii="楷体_GB2312" w:eastAsia="楷体_GB2312" w:hAnsi="楷体_GB2312" w:cs="楷体_GB2312" w:hint="eastAsia"/>
          <w:kern w:val="0"/>
          <w:sz w:val="28"/>
          <w:szCs w:val="28"/>
        </w:rPr>
        <w:t>课程教学需要改进的主要是</w:t>
      </w:r>
      <w:r>
        <w:rPr>
          <w:rFonts w:ascii="楷体_GB2312" w:eastAsia="楷体_GB2312" w:hAnsi="楷体_GB2312" w:cs="楷体_GB2312" w:hint="eastAsia"/>
          <w:kern w:val="0"/>
          <w:sz w:val="28"/>
          <w:szCs w:val="28"/>
        </w:rPr>
        <w:t>加强教学的实验、实习等环节和加强课堂的互动交流两个方面</w:t>
      </w:r>
      <w:r>
        <w:rPr>
          <w:rFonts w:ascii="楷体_GB2312" w:eastAsia="楷体_GB2312" w:hAnsi="楷体_GB2312" w:cs="楷体_GB2312" w:hint="eastAsia"/>
          <w:kern w:val="0"/>
          <w:sz w:val="28"/>
          <w:szCs w:val="28"/>
        </w:rPr>
        <w:t>。</w:t>
      </w:r>
    </w:p>
    <w:bookmarkStart w:id="5" w:name="毕业生对母校课程教学的满意度"/>
    <w:bookmarkEnd w:id="5"/>
    <w:p w:rsidR="00000000" w:rsidRDefault="00BC53B5">
      <w:pPr>
        <w:pStyle w:val="11"/>
        <w:rPr>
          <w:rFonts w:ascii="Calibri" w:hAnsi="Calibri" w:hint="eastAsia"/>
          <w:b w:val="0"/>
        </w:rPr>
      </w:pPr>
      <w:r>
        <w:rPr>
          <w:rFonts w:ascii="Calibri" w:hAnsi="Calibri"/>
          <w:b w:val="0"/>
        </w:rPr>
        <w:object w:dxaOrig="8205" w:dyaOrig="3960">
          <v:shape id="对象 30" o:spid="_x0000_i1027" type="#_x0000_t75" style="width:410.25pt;height:198pt" o:ole="">
            <v:imagedata r:id="rId27" o:title=""/>
          </v:shape>
          <o:OLEObject Type="Embed" ProgID="Excel.Sheet.12" ShapeID="对象 30" DrawAspect="Content" ObjectID="_1598980186" r:id="rId28"/>
        </w:object>
      </w:r>
    </w:p>
    <w:p w:rsidR="00000000" w:rsidRDefault="00BC53B5">
      <w:pPr>
        <w:pStyle w:val="a7"/>
        <w:spacing w:line="360" w:lineRule="auto"/>
        <w:ind w:left="0"/>
        <w:rPr>
          <w:rFonts w:ascii="楷体_GB2312" w:eastAsia="楷体_GB2312" w:hAnsi="楷体_GB2312" w:cs="楷体_GB2312" w:hint="eastAsia"/>
          <w:bCs/>
          <w:sz w:val="28"/>
          <w:szCs w:val="28"/>
        </w:rPr>
      </w:pPr>
      <w:bookmarkStart w:id="6" w:name="_Toc468717606"/>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4-2  2016</w:t>
      </w:r>
      <w:r>
        <w:rPr>
          <w:rFonts w:ascii="楷体_GB2312" w:eastAsia="楷体_GB2312" w:hAnsi="楷体_GB2312" w:cs="楷体_GB2312" w:hint="eastAsia"/>
          <w:bCs/>
          <w:sz w:val="28"/>
          <w:szCs w:val="28"/>
        </w:rPr>
        <w:t>届毕业生对母校课程教学的满意度</w:t>
      </w:r>
      <w:bookmarkEnd w:id="6"/>
    </w:p>
    <w:p w:rsidR="00000000" w:rsidRDefault="00BC53B5">
      <w:pPr>
        <w:spacing w:line="480" w:lineRule="auto"/>
        <w:jc w:val="center"/>
        <w:rPr>
          <w:rFonts w:ascii="楷体_GB2312" w:eastAsia="楷体_GB2312" w:hAnsi="楷体_GB2312" w:cs="楷体_GB2312" w:hint="eastAsia"/>
          <w:b/>
          <w:sz w:val="28"/>
          <w:szCs w:val="28"/>
        </w:rPr>
      </w:pPr>
    </w:p>
    <w:p w:rsidR="00000000" w:rsidRDefault="00BC53B5">
      <w:pPr>
        <w:spacing w:line="480" w:lineRule="auto"/>
        <w:rPr>
          <w:rFonts w:ascii="楷体_GB2312" w:eastAsia="楷体_GB2312" w:hAnsi="楷体_GB2312" w:cs="楷体_GB2312" w:hint="eastAsia"/>
          <w:b/>
          <w:sz w:val="32"/>
          <w:szCs w:val="32"/>
        </w:rPr>
      </w:pPr>
      <w:bookmarkStart w:id="7" w:name="_Toc468369547"/>
      <w:r>
        <w:rPr>
          <w:rFonts w:ascii="楷体_GB2312" w:eastAsia="楷体_GB2312" w:hAnsi="楷体_GB2312" w:cs="楷体_GB2312" w:hint="eastAsia"/>
          <w:b/>
          <w:sz w:val="32"/>
          <w:szCs w:val="32"/>
        </w:rPr>
        <w:lastRenderedPageBreak/>
        <w:t>（三）对管理服务的评价</w:t>
      </w:r>
      <w:bookmarkEnd w:id="7"/>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w:t>
      </w:r>
      <w:r>
        <w:rPr>
          <w:rFonts w:ascii="楷体_GB2312" w:eastAsia="楷体_GB2312" w:hAnsi="楷体_GB2312" w:cs="楷体_GB2312" w:hint="eastAsia"/>
          <w:kern w:val="0"/>
          <w:sz w:val="28"/>
          <w:szCs w:val="28"/>
        </w:rPr>
        <w:t>、学生管</w:t>
      </w:r>
      <w:r>
        <w:rPr>
          <w:rFonts w:ascii="楷体_GB2312" w:eastAsia="楷体_GB2312" w:hAnsi="楷体_GB2312" w:cs="楷体_GB2312" w:hint="eastAsia"/>
          <w:kern w:val="0"/>
          <w:sz w:val="28"/>
          <w:szCs w:val="28"/>
        </w:rPr>
        <w:t>理评价</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本校</w:t>
      </w: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届毕业生对母校学生管理的满意度为</w:t>
      </w:r>
      <w:r>
        <w:rPr>
          <w:rFonts w:ascii="楷体_GB2312" w:eastAsia="楷体_GB2312" w:hAnsi="楷体_GB2312" w:cs="楷体_GB2312" w:hint="eastAsia"/>
          <w:kern w:val="0"/>
          <w:sz w:val="28"/>
          <w:szCs w:val="28"/>
        </w:rPr>
        <w:t>94.31%</w:t>
      </w:r>
      <w:r>
        <w:rPr>
          <w:rFonts w:ascii="楷体_GB2312" w:eastAsia="楷体_GB2312" w:hAnsi="楷体_GB2312" w:cs="楷体_GB2312" w:hint="eastAsia"/>
          <w:kern w:val="0"/>
          <w:sz w:val="28"/>
          <w:szCs w:val="28"/>
        </w:rPr>
        <w:t>，非常满意占到</w:t>
      </w:r>
      <w:r>
        <w:rPr>
          <w:rFonts w:ascii="楷体_GB2312" w:eastAsia="楷体_GB2312" w:hAnsi="楷体_GB2312" w:cs="楷体_GB2312" w:hint="eastAsia"/>
          <w:kern w:val="0"/>
          <w:sz w:val="28"/>
          <w:szCs w:val="28"/>
        </w:rPr>
        <w:t>31.31%</w:t>
      </w:r>
      <w:r>
        <w:rPr>
          <w:rFonts w:ascii="楷体_GB2312" w:eastAsia="楷体_GB2312" w:hAnsi="楷体_GB2312" w:cs="楷体_GB2312" w:hint="eastAsia"/>
          <w:kern w:val="0"/>
          <w:sz w:val="28"/>
          <w:szCs w:val="28"/>
        </w:rPr>
        <w:t>，学生对母校学生管理满意度较高。毕业生认为母校学生管理需要改进的地方集中体现在社团活动、课外活动及假期社会实践方面，这一方面占到</w:t>
      </w:r>
      <w:r>
        <w:rPr>
          <w:rFonts w:ascii="楷体_GB2312" w:eastAsia="楷体_GB2312" w:hAnsi="楷体_GB2312" w:cs="楷体_GB2312" w:hint="eastAsia"/>
          <w:kern w:val="0"/>
          <w:sz w:val="28"/>
          <w:szCs w:val="28"/>
        </w:rPr>
        <w:t>60.76%</w:t>
      </w:r>
      <w:r>
        <w:rPr>
          <w:rFonts w:ascii="楷体_GB2312" w:eastAsia="楷体_GB2312" w:hAnsi="楷体_GB2312" w:cs="楷体_GB2312" w:hint="eastAsia"/>
          <w:kern w:val="0"/>
          <w:sz w:val="28"/>
          <w:szCs w:val="28"/>
        </w:rPr>
        <w:t>。</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p>
    <w:p w:rsidR="00000000" w:rsidRDefault="00BC53B5">
      <w:pPr>
        <w:pStyle w:val="11"/>
        <w:rPr>
          <w:rFonts w:ascii="Calibri" w:hAnsi="Calibri" w:hint="eastAsia"/>
          <w:b w:val="0"/>
        </w:rPr>
      </w:pPr>
      <w:r>
        <w:rPr>
          <w:rFonts w:ascii="Calibri" w:hAnsi="Calibri"/>
          <w:b w:val="0"/>
        </w:rPr>
        <w:object w:dxaOrig="8205" w:dyaOrig="3960">
          <v:shape id="对象 31" o:spid="_x0000_i1028" type="#_x0000_t75" style="width:410.25pt;height:198pt" o:ole="">
            <v:imagedata r:id="rId29" o:title=""/>
          </v:shape>
          <o:OLEObject Type="Embed" ProgID="Excel.Sheet.12" ShapeID="对象 31" DrawAspect="Content" ObjectID="_1598980187" r:id="rId30"/>
        </w:object>
      </w:r>
    </w:p>
    <w:p w:rsidR="00000000" w:rsidRDefault="00BC53B5">
      <w:pPr>
        <w:pStyle w:val="a7"/>
        <w:spacing w:line="360" w:lineRule="auto"/>
        <w:ind w:left="0"/>
        <w:rPr>
          <w:rFonts w:ascii="楷体_GB2312" w:eastAsia="楷体_GB2312" w:hAnsi="楷体_GB2312" w:cs="楷体_GB2312" w:hint="eastAsia"/>
          <w:bCs/>
          <w:sz w:val="28"/>
          <w:szCs w:val="28"/>
        </w:rPr>
      </w:pPr>
      <w:bookmarkStart w:id="8" w:name="_Toc468717608"/>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4-3  2016</w:t>
      </w:r>
      <w:r>
        <w:rPr>
          <w:rFonts w:ascii="楷体_GB2312" w:eastAsia="楷体_GB2312" w:hAnsi="楷体_GB2312" w:cs="楷体_GB2312" w:hint="eastAsia"/>
          <w:bCs/>
          <w:sz w:val="28"/>
          <w:szCs w:val="28"/>
        </w:rPr>
        <w:t>届毕业生对母校学生管理的满意度</w:t>
      </w:r>
      <w:bookmarkEnd w:id="8"/>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2</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 xml:space="preserve"> </w:t>
      </w:r>
      <w:r>
        <w:rPr>
          <w:rFonts w:ascii="楷体_GB2312" w:eastAsia="楷体_GB2312" w:hAnsi="楷体_GB2312" w:cs="楷体_GB2312" w:hint="eastAsia"/>
          <w:kern w:val="0"/>
          <w:sz w:val="28"/>
          <w:szCs w:val="28"/>
        </w:rPr>
        <w:t>生活服务评价</w:t>
      </w:r>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本校</w:t>
      </w: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届毕业生对母校生活服务的满意度为</w:t>
      </w:r>
      <w:r>
        <w:rPr>
          <w:rFonts w:ascii="楷体_GB2312" w:eastAsia="楷体_GB2312" w:hAnsi="楷体_GB2312" w:cs="楷体_GB2312" w:hint="eastAsia"/>
          <w:kern w:val="0"/>
          <w:sz w:val="28"/>
          <w:szCs w:val="28"/>
        </w:rPr>
        <w:t>94.82%</w:t>
      </w:r>
      <w:r>
        <w:rPr>
          <w:rFonts w:ascii="楷体_GB2312" w:eastAsia="楷体_GB2312" w:hAnsi="楷体_GB2312" w:cs="楷体_GB2312" w:hint="eastAsia"/>
          <w:kern w:val="0"/>
          <w:sz w:val="28"/>
          <w:szCs w:val="28"/>
        </w:rPr>
        <w:t>，整体满意度较高，当然毕业生最为关注的是宿舍和食堂条件的改善，认为母校生活服务需要改进的方面食堂占</w:t>
      </w:r>
      <w:r>
        <w:rPr>
          <w:rFonts w:ascii="楷体_GB2312" w:eastAsia="楷体_GB2312" w:hAnsi="楷体_GB2312" w:cs="楷体_GB2312" w:hint="eastAsia"/>
          <w:kern w:val="0"/>
          <w:sz w:val="28"/>
          <w:szCs w:val="28"/>
        </w:rPr>
        <w:t>62.45%</w:t>
      </w:r>
      <w:r>
        <w:rPr>
          <w:rFonts w:ascii="楷体_GB2312" w:eastAsia="楷体_GB2312" w:hAnsi="楷体_GB2312" w:cs="楷体_GB2312" w:hint="eastAsia"/>
          <w:kern w:val="0"/>
          <w:sz w:val="28"/>
          <w:szCs w:val="28"/>
        </w:rPr>
        <w:t>，宿舍占到</w:t>
      </w:r>
      <w:r>
        <w:rPr>
          <w:rFonts w:ascii="楷体_GB2312" w:eastAsia="楷体_GB2312" w:hAnsi="楷体_GB2312" w:cs="楷体_GB2312" w:hint="eastAsia"/>
          <w:kern w:val="0"/>
          <w:sz w:val="28"/>
          <w:szCs w:val="28"/>
        </w:rPr>
        <w:t>61.06%</w:t>
      </w:r>
      <w:r>
        <w:rPr>
          <w:rFonts w:ascii="楷体_GB2312" w:eastAsia="楷体_GB2312" w:hAnsi="楷体_GB2312" w:cs="楷体_GB2312" w:hint="eastAsia"/>
          <w:kern w:val="0"/>
          <w:sz w:val="28"/>
          <w:szCs w:val="28"/>
        </w:rPr>
        <w:t>。</w:t>
      </w:r>
    </w:p>
    <w:bookmarkStart w:id="9" w:name="毕业生对母校生活服务的满意度"/>
    <w:bookmarkEnd w:id="9"/>
    <w:p w:rsidR="00000000" w:rsidRDefault="00BC53B5">
      <w:pPr>
        <w:pStyle w:val="11"/>
        <w:rPr>
          <w:rFonts w:ascii="Calibri" w:hAnsi="Calibri" w:hint="eastAsia"/>
          <w:b w:val="0"/>
        </w:rPr>
      </w:pPr>
      <w:r>
        <w:rPr>
          <w:rFonts w:ascii="Calibri" w:hAnsi="Calibri"/>
          <w:b w:val="0"/>
        </w:rPr>
        <w:object w:dxaOrig="8205" w:dyaOrig="3960">
          <v:shape id="对象 32" o:spid="_x0000_i1029" type="#_x0000_t75" style="width:410.25pt;height:198pt" o:ole="">
            <v:imagedata r:id="rId31" o:title=""/>
          </v:shape>
          <o:OLEObject Type="Embed" ProgID="Excel.Sheet.12" ShapeID="对象 32" DrawAspect="Content" ObjectID="_1598980188" r:id="rId32"/>
        </w:object>
      </w:r>
    </w:p>
    <w:p w:rsidR="00000000" w:rsidRDefault="00BC53B5">
      <w:pPr>
        <w:pStyle w:val="a7"/>
        <w:spacing w:line="360" w:lineRule="auto"/>
        <w:ind w:left="0"/>
        <w:rPr>
          <w:rFonts w:ascii="楷体_GB2312" w:eastAsia="楷体_GB2312" w:hAnsi="楷体_GB2312" w:cs="楷体_GB2312" w:hint="eastAsia"/>
          <w:bCs/>
          <w:sz w:val="28"/>
          <w:szCs w:val="28"/>
        </w:rPr>
      </w:pPr>
      <w:bookmarkStart w:id="10" w:name="_Toc468717610"/>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4-4  2016</w:t>
      </w:r>
      <w:r>
        <w:rPr>
          <w:rFonts w:ascii="楷体_GB2312" w:eastAsia="楷体_GB2312" w:hAnsi="楷体_GB2312" w:cs="楷体_GB2312" w:hint="eastAsia"/>
          <w:bCs/>
          <w:sz w:val="28"/>
          <w:szCs w:val="28"/>
        </w:rPr>
        <w:t>届毕业生对母校生活服务的满意度</w:t>
      </w:r>
      <w:bookmarkEnd w:id="10"/>
    </w:p>
    <w:p w:rsidR="00000000" w:rsidRDefault="00BC53B5">
      <w:pPr>
        <w:pStyle w:val="3"/>
        <w:spacing w:before="120" w:after="120"/>
        <w:rPr>
          <w:rFonts w:ascii="楷体_GB2312" w:eastAsia="楷体_GB2312" w:hAnsi="楷体_GB2312" w:cs="楷体_GB2312" w:hint="eastAsia"/>
          <w:sz w:val="32"/>
        </w:rPr>
      </w:pPr>
      <w:bookmarkStart w:id="11" w:name="_Toc468369549"/>
      <w:bookmarkStart w:id="12" w:name="_Toc468369548"/>
      <w:r>
        <w:rPr>
          <w:rFonts w:ascii="楷体_GB2312" w:eastAsia="楷体_GB2312" w:hAnsi="楷体_GB2312" w:cs="楷体_GB2312" w:hint="eastAsia"/>
          <w:sz w:val="32"/>
        </w:rPr>
        <w:t>（四）对就业指导服务的评价</w:t>
      </w:r>
      <w:bookmarkEnd w:id="11"/>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本校</w:t>
      </w: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届毕业生对母校就业指导服务工作的满意度为</w:t>
      </w:r>
      <w:r>
        <w:rPr>
          <w:rFonts w:ascii="楷体_GB2312" w:eastAsia="楷体_GB2312" w:hAnsi="楷体_GB2312" w:cs="楷体_GB2312" w:hint="eastAsia"/>
          <w:kern w:val="0"/>
          <w:sz w:val="28"/>
          <w:szCs w:val="28"/>
        </w:rPr>
        <w:t>91.23%</w:t>
      </w:r>
      <w:r>
        <w:rPr>
          <w:rFonts w:ascii="楷体_GB2312" w:eastAsia="楷体_GB2312" w:hAnsi="楷体_GB2312" w:cs="楷体_GB2312" w:hint="eastAsia"/>
          <w:kern w:val="0"/>
          <w:sz w:val="28"/>
          <w:szCs w:val="28"/>
        </w:rPr>
        <w:t>。认为母校就业指导服务工作需要改进的方面是加强求职方法技巧辅导（</w:t>
      </w:r>
      <w:r>
        <w:rPr>
          <w:rFonts w:ascii="楷体_GB2312" w:eastAsia="楷体_GB2312" w:hAnsi="楷体_GB2312" w:cs="楷体_GB2312" w:hint="eastAsia"/>
          <w:kern w:val="0"/>
          <w:sz w:val="28"/>
          <w:szCs w:val="28"/>
        </w:rPr>
        <w:t>48.01%</w:t>
      </w:r>
      <w:r>
        <w:rPr>
          <w:rFonts w:ascii="楷体_GB2312" w:eastAsia="楷体_GB2312" w:hAnsi="楷体_GB2312" w:cs="楷体_GB2312" w:hint="eastAsia"/>
          <w:kern w:val="0"/>
          <w:sz w:val="28"/>
          <w:szCs w:val="28"/>
        </w:rPr>
        <w:t>）等。</w:t>
      </w:r>
    </w:p>
    <w:bookmarkStart w:id="13" w:name="毕业生对母校就业指导服务的满意度"/>
    <w:bookmarkEnd w:id="13"/>
    <w:p w:rsidR="00000000" w:rsidRDefault="00BC53B5">
      <w:pPr>
        <w:pStyle w:val="11"/>
        <w:rPr>
          <w:rFonts w:ascii="Calibri" w:hAnsi="Calibri" w:hint="eastAsia"/>
          <w:b w:val="0"/>
        </w:rPr>
      </w:pPr>
      <w:r>
        <w:rPr>
          <w:rFonts w:ascii="Calibri" w:hAnsi="Calibri"/>
          <w:b w:val="0"/>
        </w:rPr>
        <w:object w:dxaOrig="8202" w:dyaOrig="3963">
          <v:shape id="对象 33" o:spid="_x0000_i1030" type="#_x0000_t75" style="width:410.25pt;height:198pt" o:ole="">
            <v:imagedata r:id="rId33" o:title=""/>
          </v:shape>
          <o:OLEObject Type="Embed" ProgID="Excel.Sheet.12" ShapeID="对象 33" DrawAspect="Content" ObjectID="_1598980189" r:id="rId34"/>
        </w:object>
      </w:r>
    </w:p>
    <w:p w:rsidR="00000000" w:rsidRDefault="00BC53B5">
      <w:pPr>
        <w:pStyle w:val="a7"/>
        <w:spacing w:line="360" w:lineRule="auto"/>
        <w:ind w:left="0"/>
        <w:rPr>
          <w:rFonts w:ascii="楷体_GB2312" w:eastAsia="楷体_GB2312" w:hAnsi="楷体_GB2312" w:cs="楷体_GB2312" w:hint="eastAsia"/>
          <w:bCs/>
          <w:sz w:val="28"/>
          <w:szCs w:val="28"/>
        </w:rPr>
      </w:pPr>
      <w:bookmarkStart w:id="14" w:name="_Toc468717616"/>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4-5  2016</w:t>
      </w:r>
      <w:r>
        <w:rPr>
          <w:rFonts w:ascii="楷体_GB2312" w:eastAsia="楷体_GB2312" w:hAnsi="楷体_GB2312" w:cs="楷体_GB2312" w:hint="eastAsia"/>
          <w:bCs/>
          <w:sz w:val="28"/>
          <w:szCs w:val="28"/>
        </w:rPr>
        <w:t>届毕业生对母校就业指导服务的满意度</w:t>
      </w:r>
      <w:bookmarkEnd w:id="14"/>
    </w:p>
    <w:p w:rsidR="00000000" w:rsidRDefault="00BC53B5">
      <w:pPr>
        <w:pStyle w:val="3"/>
        <w:spacing w:before="120" w:after="120"/>
        <w:rPr>
          <w:rFonts w:ascii="楷体_GB2312" w:eastAsia="楷体_GB2312" w:hAnsi="楷体_GB2312" w:cs="楷体_GB2312" w:hint="eastAsia"/>
          <w:sz w:val="32"/>
        </w:rPr>
      </w:pPr>
      <w:r>
        <w:rPr>
          <w:rFonts w:ascii="楷体_GB2312" w:eastAsia="楷体_GB2312" w:hAnsi="楷体_GB2312" w:cs="楷体_GB2312" w:hint="eastAsia"/>
          <w:sz w:val="32"/>
        </w:rPr>
        <w:t>（五）对创新创业教育的评价</w:t>
      </w:r>
      <w:bookmarkEnd w:id="12"/>
    </w:p>
    <w:p w:rsidR="00000000" w:rsidRDefault="00BC53B5">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本校</w:t>
      </w:r>
      <w:r>
        <w:rPr>
          <w:rFonts w:ascii="楷体_GB2312" w:eastAsia="楷体_GB2312" w:hAnsi="楷体_GB2312" w:cs="楷体_GB2312" w:hint="eastAsia"/>
          <w:kern w:val="0"/>
          <w:sz w:val="28"/>
          <w:szCs w:val="28"/>
        </w:rPr>
        <w:t>2016</w:t>
      </w:r>
      <w:r>
        <w:rPr>
          <w:rFonts w:ascii="楷体_GB2312" w:eastAsia="楷体_GB2312" w:hAnsi="楷体_GB2312" w:cs="楷体_GB2312" w:hint="eastAsia"/>
          <w:kern w:val="0"/>
          <w:sz w:val="28"/>
          <w:szCs w:val="28"/>
        </w:rPr>
        <w:t>届毕业生对母校创新创业指导服务的满意度为</w:t>
      </w:r>
      <w:r>
        <w:rPr>
          <w:rFonts w:ascii="楷体_GB2312" w:eastAsia="楷体_GB2312" w:hAnsi="楷体_GB2312" w:cs="楷体_GB2312" w:hint="eastAsia"/>
          <w:kern w:val="0"/>
          <w:sz w:val="28"/>
          <w:szCs w:val="28"/>
        </w:rPr>
        <w:t>92.45%</w:t>
      </w:r>
      <w:r>
        <w:rPr>
          <w:rFonts w:ascii="楷体_GB2312" w:eastAsia="楷体_GB2312" w:hAnsi="楷体_GB2312" w:cs="楷体_GB2312" w:hint="eastAsia"/>
          <w:kern w:val="0"/>
          <w:sz w:val="28"/>
          <w:szCs w:val="28"/>
        </w:rPr>
        <w:t>，对创新创业实践训练的满意度为</w:t>
      </w:r>
      <w:r>
        <w:rPr>
          <w:rFonts w:ascii="楷体_GB2312" w:eastAsia="楷体_GB2312" w:hAnsi="楷体_GB2312" w:cs="楷体_GB2312" w:hint="eastAsia"/>
          <w:kern w:val="0"/>
          <w:sz w:val="28"/>
          <w:szCs w:val="28"/>
        </w:rPr>
        <w:t>91.47%</w:t>
      </w:r>
      <w:r>
        <w:rPr>
          <w:rFonts w:ascii="楷体_GB2312" w:eastAsia="楷体_GB2312" w:hAnsi="楷体_GB2312" w:cs="楷体_GB2312" w:hint="eastAsia"/>
          <w:kern w:val="0"/>
          <w:sz w:val="28"/>
          <w:szCs w:val="28"/>
        </w:rPr>
        <w:t>，对创新创业教育教学的满意</w:t>
      </w:r>
      <w:r>
        <w:rPr>
          <w:rFonts w:ascii="楷体_GB2312" w:eastAsia="楷体_GB2312" w:hAnsi="楷体_GB2312" w:cs="楷体_GB2312" w:hint="eastAsia"/>
          <w:kern w:val="0"/>
          <w:sz w:val="28"/>
          <w:szCs w:val="28"/>
        </w:rPr>
        <w:lastRenderedPageBreak/>
        <w:t>度为</w:t>
      </w:r>
      <w:r>
        <w:rPr>
          <w:rFonts w:ascii="楷体_GB2312" w:eastAsia="楷体_GB2312" w:hAnsi="楷体_GB2312" w:cs="楷体_GB2312" w:hint="eastAsia"/>
          <w:kern w:val="0"/>
          <w:sz w:val="28"/>
          <w:szCs w:val="28"/>
        </w:rPr>
        <w:t>93.53%</w:t>
      </w:r>
      <w:r>
        <w:rPr>
          <w:rFonts w:ascii="楷体_GB2312" w:eastAsia="楷体_GB2312" w:hAnsi="楷体_GB2312" w:cs="楷体_GB2312" w:hint="eastAsia"/>
          <w:kern w:val="0"/>
          <w:sz w:val="28"/>
          <w:szCs w:val="28"/>
        </w:rPr>
        <w:t>。认为母校创新创业教育教学需要改进的方面是课程要与专业</w:t>
      </w:r>
      <w:r>
        <w:rPr>
          <w:rFonts w:ascii="楷体_GB2312" w:eastAsia="楷体_GB2312" w:hAnsi="楷体_GB2312" w:cs="楷体_GB2312" w:hint="eastAsia"/>
          <w:kern w:val="0"/>
          <w:sz w:val="28"/>
          <w:szCs w:val="28"/>
        </w:rPr>
        <w:t>教育进一步融合（</w:t>
      </w:r>
      <w:r>
        <w:rPr>
          <w:rFonts w:ascii="楷体_GB2312" w:eastAsia="楷体_GB2312" w:hAnsi="楷体_GB2312" w:cs="楷体_GB2312" w:hint="eastAsia"/>
          <w:kern w:val="0"/>
          <w:sz w:val="28"/>
          <w:szCs w:val="28"/>
        </w:rPr>
        <w:t>46.31%</w:t>
      </w:r>
      <w:r>
        <w:rPr>
          <w:rFonts w:ascii="楷体_GB2312" w:eastAsia="楷体_GB2312" w:hAnsi="楷体_GB2312" w:cs="楷体_GB2312" w:hint="eastAsia"/>
          <w:kern w:val="0"/>
          <w:sz w:val="28"/>
          <w:szCs w:val="28"/>
        </w:rPr>
        <w:t>）等。认为母校创新创业实践训练需要改进的方面是建立相关实践基地（大学生科技园、创业园、校外实践基地等）（</w:t>
      </w:r>
      <w:r>
        <w:rPr>
          <w:rFonts w:ascii="楷体_GB2312" w:eastAsia="楷体_GB2312" w:hAnsi="楷体_GB2312" w:cs="楷体_GB2312" w:hint="eastAsia"/>
          <w:kern w:val="0"/>
          <w:sz w:val="28"/>
          <w:szCs w:val="28"/>
        </w:rPr>
        <w:t>52.59%</w:t>
      </w:r>
      <w:r>
        <w:rPr>
          <w:rFonts w:ascii="楷体_GB2312" w:eastAsia="楷体_GB2312" w:hAnsi="楷体_GB2312" w:cs="楷体_GB2312" w:hint="eastAsia"/>
          <w:kern w:val="0"/>
          <w:sz w:val="28"/>
          <w:szCs w:val="28"/>
        </w:rPr>
        <w:t>）等。认为母校创新创业指导服务需要改进的方面是帮助学生获得各类促进创新创业的政策利好（</w:t>
      </w:r>
      <w:r>
        <w:rPr>
          <w:rFonts w:ascii="楷体_GB2312" w:eastAsia="楷体_GB2312" w:hAnsi="楷体_GB2312" w:cs="楷体_GB2312" w:hint="eastAsia"/>
          <w:kern w:val="0"/>
          <w:sz w:val="28"/>
          <w:szCs w:val="28"/>
        </w:rPr>
        <w:t>46.51%</w:t>
      </w:r>
      <w:r>
        <w:rPr>
          <w:rFonts w:ascii="楷体_GB2312" w:eastAsia="楷体_GB2312" w:hAnsi="楷体_GB2312" w:cs="楷体_GB2312" w:hint="eastAsia"/>
          <w:kern w:val="0"/>
          <w:sz w:val="28"/>
          <w:szCs w:val="28"/>
        </w:rPr>
        <w:t>）等。</w:t>
      </w:r>
    </w:p>
    <w:p w:rsidR="00000000" w:rsidRDefault="00BC53B5">
      <w:pPr>
        <w:pStyle w:val="11"/>
        <w:rPr>
          <w:rFonts w:ascii="Calibri" w:hAnsi="Calibri" w:hint="eastAsia"/>
          <w:bCs/>
        </w:rPr>
      </w:pPr>
      <w:r>
        <w:rPr>
          <w:rFonts w:ascii="Calibri" w:hAnsi="Calibri"/>
          <w:bCs/>
        </w:rPr>
        <w:object w:dxaOrig="8479" w:dyaOrig="2480">
          <v:shape id="对象 34" o:spid="_x0000_i1031" type="#_x0000_t75" style="width:423.75pt;height:123.75pt" o:ole="">
            <v:imagedata r:id="rId35" o:title=""/>
          </v:shape>
          <o:OLEObject Type="Embed" ProgID="Excel.Sheet.12" ShapeID="对象 34" DrawAspect="Content" ObjectID="_1598980190" r:id="rId36"/>
        </w:object>
      </w:r>
    </w:p>
    <w:p w:rsidR="00000000" w:rsidRDefault="00BC53B5">
      <w:pPr>
        <w:pStyle w:val="a7"/>
        <w:spacing w:line="360" w:lineRule="auto"/>
        <w:ind w:left="0"/>
        <w:rPr>
          <w:rFonts w:ascii="楷体_GB2312" w:eastAsia="楷体_GB2312" w:hAnsi="楷体_GB2312" w:cs="楷体_GB2312" w:hint="eastAsia"/>
          <w:bCs/>
          <w:sz w:val="28"/>
          <w:szCs w:val="28"/>
        </w:rPr>
      </w:pPr>
      <w:bookmarkStart w:id="15" w:name="_Toc468717612"/>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4-6  2016</w:t>
      </w:r>
      <w:r>
        <w:rPr>
          <w:rFonts w:ascii="楷体_GB2312" w:eastAsia="楷体_GB2312" w:hAnsi="楷体_GB2312" w:cs="楷体_GB2312" w:hint="eastAsia"/>
          <w:bCs/>
          <w:sz w:val="28"/>
          <w:szCs w:val="28"/>
        </w:rPr>
        <w:t>届毕业生对母校创新创业工作的满意度</w:t>
      </w:r>
      <w:bookmarkEnd w:id="15"/>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rPr>
          <w:rFonts w:ascii="楷体_GB2312" w:eastAsia="楷体_GB2312" w:hAnsi="楷体_GB2312" w:cs="楷体_GB2312" w:hint="eastAsia"/>
          <w:b/>
          <w:bCs/>
          <w:sz w:val="36"/>
          <w:szCs w:val="36"/>
        </w:rPr>
      </w:pPr>
    </w:p>
    <w:p w:rsidR="00000000" w:rsidRDefault="00BC53B5">
      <w:pPr>
        <w:spacing w:line="480" w:lineRule="auto"/>
        <w:ind w:left="420"/>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t>第五部</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今后就业工作的几点思考</w:t>
      </w:r>
    </w:p>
    <w:p w:rsidR="00000000" w:rsidRDefault="00BC53B5">
      <w:pPr>
        <w:autoSpaceDE w:val="0"/>
        <w:autoSpaceDN w:val="0"/>
        <w:adjustRightInd w:val="0"/>
        <w:spacing w:line="480" w:lineRule="auto"/>
        <w:jc w:val="left"/>
        <w:rPr>
          <w:rFonts w:ascii="楷体_GB2312" w:eastAsia="楷体_GB2312" w:hAnsi="楷体_GB2312" w:cs="楷体_GB2312"/>
          <w:kern w:val="0"/>
          <w:sz w:val="32"/>
          <w:szCs w:val="32"/>
        </w:rPr>
      </w:pPr>
      <w:r>
        <w:rPr>
          <w:rFonts w:ascii="楷体_GB2312" w:eastAsia="楷体_GB2312" w:hAnsi="楷体_GB2312" w:cs="楷体_GB2312" w:hint="eastAsia"/>
          <w:b/>
          <w:bCs/>
          <w:kern w:val="0"/>
          <w:sz w:val="32"/>
          <w:szCs w:val="32"/>
        </w:rPr>
        <w:t>一、加强就业指导，实施优质服务</w:t>
      </w:r>
    </w:p>
    <w:p w:rsidR="00000000" w:rsidRDefault="00BC53B5">
      <w:pPr>
        <w:autoSpaceDE w:val="0"/>
        <w:autoSpaceDN w:val="0"/>
        <w:adjustRightInd w:val="0"/>
        <w:spacing w:line="480" w:lineRule="auto"/>
        <w:ind w:firstLine="555"/>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不断提升就业工作的规范化、制度化、信息化水平</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坚持以学生为中心，开展个性化、全程化跟踪辅导。深入宣传、贯彻国家的各项就业政策和措施，引导、帮助毕业生实现就业。</w:t>
      </w:r>
    </w:p>
    <w:p w:rsidR="00000000" w:rsidRDefault="00BC53B5">
      <w:pPr>
        <w:autoSpaceDE w:val="0"/>
        <w:autoSpaceDN w:val="0"/>
        <w:adjustRightInd w:val="0"/>
        <w:spacing w:line="480" w:lineRule="auto"/>
        <w:jc w:val="left"/>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二、深化职业生涯发展教育、教学内涵建设</w:t>
      </w:r>
    </w:p>
    <w:p w:rsidR="00000000" w:rsidRDefault="00BC53B5">
      <w:pPr>
        <w:autoSpaceDE w:val="0"/>
        <w:autoSpaceDN w:val="0"/>
        <w:adjustRightInd w:val="0"/>
        <w:spacing w:line="480" w:lineRule="auto"/>
        <w:ind w:firstLine="555"/>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学院已构建形成完整的职业发展教育教学体系，今后需不断深化</w:t>
      </w:r>
      <w:r>
        <w:rPr>
          <w:rFonts w:ascii="楷体_GB2312" w:eastAsia="楷体_GB2312" w:hAnsi="楷体_GB2312" w:cs="楷体_GB2312" w:hint="eastAsia"/>
          <w:kern w:val="0"/>
          <w:sz w:val="28"/>
          <w:szCs w:val="28"/>
        </w:rPr>
        <w:lastRenderedPageBreak/>
        <w:t>其内涵建设。在师资队伍建设方面，一是</w:t>
      </w:r>
      <w:r>
        <w:rPr>
          <w:rFonts w:ascii="楷体_GB2312" w:eastAsia="楷体_GB2312" w:hAnsi="楷体_GB2312" w:cs="楷体_GB2312" w:hint="eastAsia"/>
          <w:kern w:val="0"/>
          <w:sz w:val="28"/>
          <w:szCs w:val="28"/>
        </w:rPr>
        <w:t>要强化培训，积极推进就业指导教师的职业化、专业化和专家化；二要大力引进各行各业杰出人才和社会职业发展教育专家走进校园，结合校内师资共同开设就业、创业指导类课程，开展个性化职业发展咨询，为学生的职业生涯发展提供支持。配合课程教学主渠道，加强与用人单位合作，使学生在创新创业活动中提升能力，更好符合社会需求。同时，积极开设第二课堂，进一步帮助学生树立正确的职业生涯发展观，提升就业核心竞争力。</w:t>
      </w:r>
    </w:p>
    <w:p w:rsidR="00000000" w:rsidRDefault="00BC53B5">
      <w:pPr>
        <w:spacing w:line="480" w:lineRule="auto"/>
        <w:rPr>
          <w:rFonts w:ascii="楷体_GB2312" w:eastAsia="楷体_GB2312" w:hAnsi="楷体_GB2312" w:cs="楷体_GB2312"/>
          <w:b/>
          <w:bCs/>
          <w:sz w:val="32"/>
          <w:szCs w:val="32"/>
        </w:rPr>
      </w:pPr>
      <w:r>
        <w:rPr>
          <w:rFonts w:ascii="楷体_GB2312" w:eastAsia="楷体_GB2312" w:hAnsi="楷体_GB2312" w:cs="楷体_GB2312" w:hint="eastAsia"/>
          <w:b/>
          <w:bCs/>
          <w:kern w:val="0"/>
          <w:sz w:val="32"/>
          <w:szCs w:val="32"/>
        </w:rPr>
        <w:t>三、拓宽客户管理渠道，使实习与就业同步</w:t>
      </w:r>
    </w:p>
    <w:p w:rsidR="00000000" w:rsidRDefault="00BC53B5">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sz w:val="28"/>
          <w:szCs w:val="28"/>
        </w:rPr>
        <w:t>一方面将用人单位作为目标客户，</w:t>
      </w:r>
      <w:r>
        <w:rPr>
          <w:rFonts w:ascii="楷体_GB2312" w:eastAsia="楷体_GB2312" w:hAnsi="楷体_GB2312" w:cs="楷体_GB2312" w:hint="eastAsia"/>
          <w:kern w:val="0"/>
          <w:sz w:val="28"/>
          <w:szCs w:val="28"/>
        </w:rPr>
        <w:t>由对口的学部、专业与用人单位对接，实现资源的深度共享</w:t>
      </w:r>
      <w:r>
        <w:rPr>
          <w:rFonts w:ascii="楷体_GB2312" w:eastAsia="楷体_GB2312" w:hAnsi="楷体_GB2312" w:cs="楷体_GB2312" w:hint="eastAsia"/>
          <w:kern w:val="0"/>
          <w:sz w:val="28"/>
          <w:szCs w:val="28"/>
        </w:rPr>
        <w:t>；另一方面，将实习与就业招聘结合，在每年学生实习动员后举办大型实习暨就业招聘会。学部定期组织专场招聘，针对性地开展就业指导，进一步提高就业工作的实效性。</w:t>
      </w:r>
      <w:r>
        <w:rPr>
          <w:rFonts w:ascii="楷体_GB2312" w:eastAsia="楷体_GB2312" w:hAnsi="楷体_GB2312" w:cs="楷体_GB2312" w:hint="eastAsia"/>
          <w:kern w:val="0"/>
          <w:sz w:val="28"/>
          <w:szCs w:val="28"/>
        </w:rPr>
        <w:t xml:space="preserve"> </w:t>
      </w:r>
    </w:p>
    <w:p w:rsidR="00000000" w:rsidRDefault="00BC53B5">
      <w:pPr>
        <w:autoSpaceDE w:val="0"/>
        <w:autoSpaceDN w:val="0"/>
        <w:adjustRightInd w:val="0"/>
        <w:spacing w:line="480" w:lineRule="auto"/>
        <w:jc w:val="left"/>
        <w:rPr>
          <w:rFonts w:ascii="楷体_GB2312" w:eastAsia="楷体_GB2312" w:hAnsi="楷体_GB2312" w:cs="楷体_GB2312" w:hint="eastAsia"/>
          <w:b/>
          <w:bCs/>
          <w:kern w:val="0"/>
          <w:sz w:val="32"/>
          <w:szCs w:val="32"/>
        </w:rPr>
      </w:pPr>
      <w:r>
        <w:rPr>
          <w:rFonts w:ascii="楷体_GB2312" w:eastAsia="楷体_GB2312" w:hAnsi="楷体_GB2312" w:cs="楷体_GB2312" w:hint="eastAsia"/>
          <w:b/>
          <w:bCs/>
          <w:kern w:val="0"/>
          <w:sz w:val="32"/>
          <w:szCs w:val="32"/>
        </w:rPr>
        <w:t>四、组建创业联盟，深化校企合作</w:t>
      </w:r>
    </w:p>
    <w:p w:rsidR="00000000" w:rsidRDefault="00BC53B5">
      <w:pPr>
        <w:autoSpaceDE w:val="0"/>
        <w:autoSpaceDN w:val="0"/>
        <w:adjustRightInd w:val="0"/>
        <w:spacing w:line="480" w:lineRule="auto"/>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 xml:space="preserve">   </w:t>
      </w:r>
      <w:r>
        <w:rPr>
          <w:rFonts w:ascii="楷体_GB2312" w:eastAsia="楷体_GB2312" w:hAnsi="楷体_GB2312" w:cs="楷体_GB2312" w:hint="eastAsia"/>
          <w:kern w:val="0"/>
          <w:sz w:val="28"/>
          <w:szCs w:val="28"/>
        </w:rPr>
        <w:t>在“大众创业、万众创新”的大背景下，要大力推进大学生创新创业教育，进行分层、分类指导。一方面，对全体在校生进行创新创业教育，旨在激发学生的创新创业意识，培养创新创业精神；另一方面，对有创业意愿的学生进行重点扶持，通过引进项目、邀请成功创业校友、校企合作单位、家长委员会成员举办创业讲座或担任创业导师，分享创业经验及方法</w:t>
      </w:r>
      <w:r>
        <w:rPr>
          <w:rFonts w:ascii="楷体_GB2312" w:eastAsia="楷体_GB2312" w:hAnsi="楷体_GB2312" w:cs="楷体_GB2312" w:hint="eastAsia"/>
          <w:kern w:val="0"/>
          <w:sz w:val="28"/>
          <w:szCs w:val="28"/>
        </w:rPr>
        <w:t>，带领学生到企业进行实践等，组织创业训练营系列活动，开展创业计划大赛、模拟创业实训等活动。随着创新创业教育和创业实践的深入，组建校地、校企创业合作联盟，进一步</w:t>
      </w:r>
      <w:r>
        <w:rPr>
          <w:rFonts w:ascii="楷体_GB2312" w:eastAsia="楷体_GB2312" w:hAnsi="楷体_GB2312" w:cs="楷体_GB2312" w:hint="eastAsia"/>
          <w:kern w:val="0"/>
          <w:sz w:val="28"/>
          <w:szCs w:val="28"/>
        </w:rPr>
        <w:lastRenderedPageBreak/>
        <w:t>扩大创新创业规模，深化创新创业内涵建设。</w:t>
      </w:r>
    </w:p>
    <w:p w:rsidR="00000000" w:rsidRDefault="00BC53B5">
      <w:pPr>
        <w:autoSpaceDE w:val="0"/>
        <w:autoSpaceDN w:val="0"/>
        <w:adjustRightInd w:val="0"/>
        <w:spacing w:line="480" w:lineRule="auto"/>
        <w:jc w:val="left"/>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五、不断创新人才培养模式，提升教育教学质量</w:t>
      </w:r>
    </w:p>
    <w:p w:rsidR="00000000" w:rsidRDefault="00BC53B5">
      <w:pPr>
        <w:autoSpaceDE w:val="0"/>
        <w:autoSpaceDN w:val="0"/>
        <w:adjustRightInd w:val="0"/>
        <w:spacing w:line="480" w:lineRule="auto"/>
        <w:ind w:firstLineChars="200"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围绕应用型人才培养目标定位，走错位化、差异化、特色化发展之路，完善“</w:t>
      </w:r>
      <w:r>
        <w:rPr>
          <w:rFonts w:ascii="楷体_GB2312" w:eastAsia="楷体_GB2312" w:hAnsi="楷体_GB2312" w:cs="楷体_GB2312" w:hint="eastAsia"/>
          <w:kern w:val="0"/>
          <w:sz w:val="28"/>
          <w:szCs w:val="28"/>
        </w:rPr>
        <w:t>3+1</w:t>
      </w:r>
      <w:r>
        <w:rPr>
          <w:rFonts w:ascii="楷体_GB2312" w:eastAsia="楷体_GB2312" w:hAnsi="楷体_GB2312" w:cs="楷体_GB2312" w:hint="eastAsia"/>
          <w:kern w:val="0"/>
          <w:sz w:val="28"/>
          <w:szCs w:val="28"/>
        </w:rPr>
        <w:t>”（四年制本科）、“</w:t>
      </w:r>
      <w:r>
        <w:rPr>
          <w:rFonts w:ascii="楷体_GB2312" w:eastAsia="楷体_GB2312" w:hAnsi="楷体_GB2312" w:cs="楷体_GB2312" w:hint="eastAsia"/>
          <w:kern w:val="0"/>
          <w:sz w:val="28"/>
          <w:szCs w:val="28"/>
        </w:rPr>
        <w:t>3+1+1</w:t>
      </w:r>
      <w:r>
        <w:rPr>
          <w:rFonts w:ascii="楷体_GB2312" w:eastAsia="楷体_GB2312" w:hAnsi="楷体_GB2312" w:cs="楷体_GB2312" w:hint="eastAsia"/>
          <w:kern w:val="0"/>
          <w:sz w:val="28"/>
          <w:szCs w:val="28"/>
        </w:rPr>
        <w:t>”（五年制本科）人才培养模式，努力把行业企业对人才的综合素质和岗位的职业能力要求体现到教学内容和教学要求中，实现课堂教学与职业岗位的真正对接，推行实训、顶岗实习等实</w:t>
      </w:r>
      <w:r>
        <w:rPr>
          <w:rFonts w:ascii="楷体_GB2312" w:eastAsia="楷体_GB2312" w:hAnsi="楷体_GB2312" w:cs="楷体_GB2312" w:hint="eastAsia"/>
          <w:kern w:val="0"/>
          <w:sz w:val="28"/>
          <w:szCs w:val="28"/>
        </w:rPr>
        <w:t>践教学改革，强调学历证书与职业资格证（技术等级证）双证制。</w:t>
      </w:r>
    </w:p>
    <w:p w:rsidR="00BC53B5" w:rsidRDefault="00BC53B5">
      <w:pPr>
        <w:autoSpaceDE w:val="0"/>
        <w:autoSpaceDN w:val="0"/>
        <w:adjustRightInd w:val="0"/>
        <w:spacing w:line="480" w:lineRule="auto"/>
        <w:ind w:firstLineChars="200" w:firstLine="560"/>
        <w:jc w:val="left"/>
        <w:rPr>
          <w:rFonts w:ascii="楷体_GB2312" w:eastAsia="楷体_GB2312" w:hAnsi="楷体_GB2312" w:cs="楷体_GB2312"/>
          <w:kern w:val="0"/>
          <w:sz w:val="28"/>
          <w:szCs w:val="28"/>
        </w:rPr>
      </w:pPr>
    </w:p>
    <w:sectPr w:rsidR="00BC53B5">
      <w:headerReference w:type="default" r:id="rId37"/>
      <w:footerReference w:type="default" r:id="rId38"/>
      <w:headerReference w:type="first" r:id="rId39"/>
      <w:footerReference w:type="first" r:id="rId40"/>
      <w:pgSz w:w="11906" w:h="16838"/>
      <w:pgMar w:top="1440" w:right="1797" w:bottom="1440" w:left="1797" w:header="851" w:footer="992"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3B5" w:rsidRDefault="00BC53B5">
      <w:r>
        <w:separator/>
      </w:r>
    </w:p>
  </w:endnote>
  <w:endnote w:type="continuationSeparator" w:id="1">
    <w:p w:rsidR="00BC53B5" w:rsidRDefault="00BC5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53B5">
    <w:pPr>
      <w:pStyle w:val="a5"/>
    </w:pPr>
    <w:r>
      <w:pict>
        <v:shapetype id="_x0000_t202" coordsize="21600,21600" o:spt="202" path="m,l,21600r21600,l21600,xe">
          <v:stroke joinstyle="miter"/>
          <v:path gradientshapeok="t" o:connecttype="rect"/>
        </v:shapetype>
        <v:shape id="文本框 18" o:spid="_x0000_s2066" type="#_x0000_t202" style="position:absolute;margin-left:0;margin-top:0;width:2in;height:2in;z-index:251657216;mso-wrap-style:none;mso-position-horizontal:center;mso-position-horizontal-relative:margin" filled="f" stroked="f" strokeweight="1.25pt">
          <v:fill o:detectmouseclick="t"/>
          <v:textbox style="mso-fit-shape-to-text:t" inset="0,0,0,0">
            <w:txbxContent>
              <w:p w:rsidR="00000000" w:rsidRDefault="00BC53B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546BB" w:rsidRPr="007546BB">
                  <w:rPr>
                    <w:noProof/>
                    <w:lang w:val="en-US" w:eastAsia="zh-CN"/>
                  </w:rPr>
                  <w:t>2</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53B5">
    <w:pPr>
      <w:pStyle w:val="a5"/>
      <w:jc w:val="center"/>
    </w:pPr>
    <w:r>
      <w:pict>
        <v:shapetype id="_x0000_t202" coordsize="21600,21600" o:spt="202" path="m,l,21600r21600,l21600,xe">
          <v:stroke joinstyle="miter"/>
          <v:path gradientshapeok="t" o:connecttype="rect"/>
        </v:shapetype>
        <v:shape id="文本框 19" o:spid="_x0000_s2067" type="#_x0000_t202" style="position:absolute;left:0;text-align:left;margin-left:0;margin-top:0;width:2in;height:2in;z-index:251658240;mso-wrap-style:none;mso-position-horizontal:center;mso-position-horizontal-relative:margin" filled="f" stroked="f" strokeweight="1.25pt">
          <v:fill o:detectmouseclick="t"/>
          <v:textbox style="mso-fit-shape-to-text:t" inset="0,0,0,0">
            <w:txbxContent>
              <w:p w:rsidR="00000000" w:rsidRDefault="00BC53B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546BB" w:rsidRPr="007546BB">
                  <w:rPr>
                    <w:noProof/>
                    <w:lang w:val="en-US" w:eastAsia="zh-CN"/>
                  </w:rPr>
                  <w:t>1</w:t>
                </w:r>
                <w:r>
                  <w:rPr>
                    <w:rFonts w:hint="eastAsia"/>
                    <w:sz w:val="18"/>
                  </w:rPr>
                  <w:fldChar w:fldCharType="end"/>
                </w:r>
              </w:p>
            </w:txbxContent>
          </v:textbox>
          <w10:wrap anchorx="margin"/>
        </v:shape>
      </w:pict>
    </w:r>
  </w:p>
  <w:p w:rsidR="00000000" w:rsidRDefault="00BC53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3B5" w:rsidRDefault="00BC53B5">
      <w:r>
        <w:separator/>
      </w:r>
    </w:p>
  </w:footnote>
  <w:footnote w:type="continuationSeparator" w:id="1">
    <w:p w:rsidR="00BC53B5" w:rsidRDefault="00BC53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546BB">
    <w:pPr>
      <w:pStyle w:val="a6"/>
      <w:tabs>
        <w:tab w:val="clear" w:pos="8306"/>
      </w:tabs>
      <w:jc w:val="both"/>
    </w:pPr>
    <w:r>
      <w:rPr>
        <w:noProof/>
      </w:rPr>
      <w:drawing>
        <wp:inline distT="0" distB="0" distL="0" distR="0">
          <wp:extent cx="200025" cy="200025"/>
          <wp:effectExtent l="19050" t="0" r="9525" b="0"/>
          <wp:docPr id="5" name="图片 27"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Pr>
        <w:noProof/>
      </w:rPr>
      <w:drawing>
        <wp:inline distT="0" distB="0" distL="0" distR="0">
          <wp:extent cx="1200150" cy="180975"/>
          <wp:effectExtent l="19050" t="0" r="0" b="0"/>
          <wp:docPr id="6"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sidR="00BC53B5">
      <w:rPr>
        <w:rFonts w:hint="eastAsia"/>
      </w:rPr>
      <w:tab/>
    </w:r>
    <w:r w:rsidR="00BC53B5">
      <w:rPr>
        <w:rFonts w:hint="eastAsia"/>
      </w:rPr>
      <w:t xml:space="preserve">                                           2015</w:t>
    </w:r>
    <w:r w:rsidR="00BC53B5">
      <w:rPr>
        <w:rFonts w:hint="eastAsia"/>
      </w:rPr>
      <w:t>届毕业生就业质量报告</w:t>
    </w:r>
    <w:r w:rsidR="00BC53B5">
      <w:t xml:space="preserve"> </w:t>
    </w:r>
  </w:p>
  <w:p w:rsidR="00000000" w:rsidRDefault="00BC53B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546BB">
    <w:pPr>
      <w:pStyle w:val="a6"/>
    </w:pPr>
    <w:r>
      <w:rPr>
        <w:noProof/>
      </w:rPr>
      <w:drawing>
        <wp:inline distT="0" distB="0" distL="0" distR="0">
          <wp:extent cx="200025" cy="200025"/>
          <wp:effectExtent l="19050" t="0" r="9525" b="0"/>
          <wp:docPr id="3" name="Picture 27"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Pr>
        <w:noProof/>
      </w:rPr>
      <w:drawing>
        <wp:inline distT="0" distB="0" distL="0" distR="0">
          <wp:extent cx="1200150" cy="180975"/>
          <wp:effectExtent l="19050" t="0" r="0" b="0"/>
          <wp:docPr id="4"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sidR="00BC53B5">
      <w:rPr>
        <w:rFonts w:hint="eastAsia"/>
      </w:rPr>
      <w:tab/>
    </w:r>
    <w:r w:rsidR="00BC53B5">
      <w:rPr>
        <w:rFonts w:hint="eastAsia"/>
      </w:rPr>
      <w:t xml:space="preserve">                                          2015</w:t>
    </w:r>
    <w:r w:rsidR="00BC53B5">
      <w:rPr>
        <w:rFonts w:hint="eastAsia"/>
      </w:rPr>
      <w:t>届毕业生就业质量报告</w:t>
    </w:r>
    <w:r w:rsidR="00BC53B5">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0BA3"/>
    <w:multiLevelType w:val="multilevel"/>
    <w:tmpl w:val="07C40BA3"/>
    <w:lvl w:ilvl="0">
      <w:start w:val="1"/>
      <w:numFmt w:val="japaneseCounting"/>
      <w:lvlText w:val="（%1）"/>
      <w:lvlJc w:val="left"/>
      <w:pPr>
        <w:ind w:left="1305" w:hanging="88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3874CC2"/>
    <w:multiLevelType w:val="multilevel"/>
    <w:tmpl w:val="13874CC2"/>
    <w:lvl w:ilvl="0">
      <w:start w:val="1"/>
      <w:numFmt w:val="japaneseCounting"/>
      <w:lvlText w:val="（%1）"/>
      <w:lvlJc w:val="left"/>
      <w:pPr>
        <w:ind w:left="1080" w:hanging="108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E9903CA"/>
    <w:multiLevelType w:val="multilevel"/>
    <w:tmpl w:val="1E9903CA"/>
    <w:lvl w:ilvl="0">
      <w:start w:val="1"/>
      <w:numFmt w:val="japaneseCounting"/>
      <w:lvlText w:val="（%1）"/>
      <w:lvlJc w:val="left"/>
      <w:pPr>
        <w:ind w:left="1305" w:hanging="88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868488F"/>
    <w:multiLevelType w:val="multilevel"/>
    <w:tmpl w:val="2868488F"/>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4AEA450"/>
    <w:multiLevelType w:val="singleLevel"/>
    <w:tmpl w:val="54AEA450"/>
    <w:lvl w:ilvl="0">
      <w:start w:val="2"/>
      <w:numFmt w:val="chineseCounting"/>
      <w:suff w:val="nothing"/>
      <w:lvlText w:val="（%1）"/>
      <w:lvlJc w:val="left"/>
    </w:lvl>
  </w:abstractNum>
  <w:abstractNum w:abstractNumId="5">
    <w:nsid w:val="54AEAF8B"/>
    <w:multiLevelType w:val="singleLevel"/>
    <w:tmpl w:val="54AEAF8B"/>
    <w:lvl w:ilvl="0">
      <w:start w:val="2"/>
      <w:numFmt w:val="chineseCounting"/>
      <w:suff w:val="nothing"/>
      <w:lvlText w:val="（%1）"/>
      <w:lvlJc w:val="left"/>
    </w:lvl>
  </w:abstractNum>
  <w:abstractNum w:abstractNumId="6">
    <w:nsid w:val="54AEB043"/>
    <w:multiLevelType w:val="singleLevel"/>
    <w:tmpl w:val="54AEB043"/>
    <w:lvl w:ilvl="0">
      <w:start w:val="2"/>
      <w:numFmt w:val="chineseCounting"/>
      <w:suff w:val="nothing"/>
      <w:lvlText w:val="（%1）"/>
      <w:lvlJc w:val="left"/>
    </w:lvl>
  </w:abstractNum>
  <w:abstractNum w:abstractNumId="7">
    <w:nsid w:val="5683945D"/>
    <w:multiLevelType w:val="singleLevel"/>
    <w:tmpl w:val="5683945D"/>
    <w:lvl w:ilvl="0">
      <w:start w:val="2"/>
      <w:numFmt w:val="chineseCounting"/>
      <w:suff w:val="nothing"/>
      <w:lvlText w:val="%1、"/>
      <w:lvlJc w:val="left"/>
    </w:lvl>
  </w:abstractNum>
  <w:num w:numId="1">
    <w:abstractNumId w:val="3"/>
  </w:num>
  <w:num w:numId="2">
    <w:abstractNumId w:val="0"/>
  </w:num>
  <w:num w:numId="3">
    <w:abstractNumId w:val="2"/>
  </w:num>
  <w:num w:numId="4">
    <w:abstractNumId w:val="4"/>
  </w:num>
  <w:num w:numId="5">
    <w:abstractNumId w:val="1"/>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drawingGridHorizontalSpacing w:val="105"/>
  <w:drawingGridVerticalSpacing w:val="156"/>
  <w:noPunctuationKerning/>
  <w:characterSpacingControl w:val="compressPunctuation"/>
  <w:doNotValidateAgainstSchema/>
  <w:doNotDemarcateInvalidXml/>
  <w:hdrShapeDefaults>
    <o:shapedefaults v:ext="edit" spidmax="3094"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392270"/>
    <w:rsid w:val="000005B2"/>
    <w:rsid w:val="00001706"/>
    <w:rsid w:val="000017E7"/>
    <w:rsid w:val="00001FDE"/>
    <w:rsid w:val="00002470"/>
    <w:rsid w:val="00002B84"/>
    <w:rsid w:val="00002FBC"/>
    <w:rsid w:val="0000331D"/>
    <w:rsid w:val="0000512E"/>
    <w:rsid w:val="00005644"/>
    <w:rsid w:val="00005871"/>
    <w:rsid w:val="00005B27"/>
    <w:rsid w:val="00005BDE"/>
    <w:rsid w:val="000062CD"/>
    <w:rsid w:val="00006F14"/>
    <w:rsid w:val="0000714E"/>
    <w:rsid w:val="00010E86"/>
    <w:rsid w:val="00013203"/>
    <w:rsid w:val="00013C08"/>
    <w:rsid w:val="000140B6"/>
    <w:rsid w:val="00014615"/>
    <w:rsid w:val="0001516A"/>
    <w:rsid w:val="00015299"/>
    <w:rsid w:val="000153AF"/>
    <w:rsid w:val="00016ADE"/>
    <w:rsid w:val="00016D19"/>
    <w:rsid w:val="00017350"/>
    <w:rsid w:val="00017DCC"/>
    <w:rsid w:val="00021B79"/>
    <w:rsid w:val="00021F34"/>
    <w:rsid w:val="00022415"/>
    <w:rsid w:val="000225EE"/>
    <w:rsid w:val="00023A7E"/>
    <w:rsid w:val="0002453F"/>
    <w:rsid w:val="00025217"/>
    <w:rsid w:val="0002787B"/>
    <w:rsid w:val="00027DAA"/>
    <w:rsid w:val="00031D68"/>
    <w:rsid w:val="00031E4D"/>
    <w:rsid w:val="00032D29"/>
    <w:rsid w:val="00033D7E"/>
    <w:rsid w:val="00033DA7"/>
    <w:rsid w:val="00034175"/>
    <w:rsid w:val="000357EF"/>
    <w:rsid w:val="00035DEE"/>
    <w:rsid w:val="00036388"/>
    <w:rsid w:val="00036C4C"/>
    <w:rsid w:val="00040B89"/>
    <w:rsid w:val="00040F95"/>
    <w:rsid w:val="0004151A"/>
    <w:rsid w:val="00041759"/>
    <w:rsid w:val="00041F70"/>
    <w:rsid w:val="00042E61"/>
    <w:rsid w:val="0004360A"/>
    <w:rsid w:val="000441EB"/>
    <w:rsid w:val="00044AA0"/>
    <w:rsid w:val="0004546A"/>
    <w:rsid w:val="0004748D"/>
    <w:rsid w:val="00050B49"/>
    <w:rsid w:val="00050F4A"/>
    <w:rsid w:val="0005145F"/>
    <w:rsid w:val="000524D7"/>
    <w:rsid w:val="00052995"/>
    <w:rsid w:val="00053337"/>
    <w:rsid w:val="00053DE1"/>
    <w:rsid w:val="00053FF1"/>
    <w:rsid w:val="000552DA"/>
    <w:rsid w:val="000554BA"/>
    <w:rsid w:val="00055A41"/>
    <w:rsid w:val="00055A64"/>
    <w:rsid w:val="00055B25"/>
    <w:rsid w:val="00055E6D"/>
    <w:rsid w:val="00055E71"/>
    <w:rsid w:val="000568F7"/>
    <w:rsid w:val="000605DC"/>
    <w:rsid w:val="00060785"/>
    <w:rsid w:val="00061340"/>
    <w:rsid w:val="00061DA3"/>
    <w:rsid w:val="00062396"/>
    <w:rsid w:val="00062516"/>
    <w:rsid w:val="0006339C"/>
    <w:rsid w:val="000636E6"/>
    <w:rsid w:val="000636F7"/>
    <w:rsid w:val="00063A30"/>
    <w:rsid w:val="00064EA8"/>
    <w:rsid w:val="000673DA"/>
    <w:rsid w:val="0007013B"/>
    <w:rsid w:val="00070A22"/>
    <w:rsid w:val="00070BCB"/>
    <w:rsid w:val="00070E26"/>
    <w:rsid w:val="000714FA"/>
    <w:rsid w:val="000725A3"/>
    <w:rsid w:val="0007285A"/>
    <w:rsid w:val="00072B20"/>
    <w:rsid w:val="000731D3"/>
    <w:rsid w:val="000735BA"/>
    <w:rsid w:val="000738A4"/>
    <w:rsid w:val="00081956"/>
    <w:rsid w:val="00081DFB"/>
    <w:rsid w:val="00082506"/>
    <w:rsid w:val="0008290F"/>
    <w:rsid w:val="00082E48"/>
    <w:rsid w:val="00083C98"/>
    <w:rsid w:val="00083D9D"/>
    <w:rsid w:val="0008443F"/>
    <w:rsid w:val="0009051E"/>
    <w:rsid w:val="00090D29"/>
    <w:rsid w:val="000928D8"/>
    <w:rsid w:val="000936D2"/>
    <w:rsid w:val="000953C2"/>
    <w:rsid w:val="00097A1D"/>
    <w:rsid w:val="000A01A2"/>
    <w:rsid w:val="000A0550"/>
    <w:rsid w:val="000A13EB"/>
    <w:rsid w:val="000A1480"/>
    <w:rsid w:val="000A1958"/>
    <w:rsid w:val="000A1C8D"/>
    <w:rsid w:val="000A2802"/>
    <w:rsid w:val="000A2FDF"/>
    <w:rsid w:val="000A33D7"/>
    <w:rsid w:val="000A37BE"/>
    <w:rsid w:val="000A4C4B"/>
    <w:rsid w:val="000A54D6"/>
    <w:rsid w:val="000A6462"/>
    <w:rsid w:val="000A7115"/>
    <w:rsid w:val="000A7708"/>
    <w:rsid w:val="000B11E8"/>
    <w:rsid w:val="000B2EA9"/>
    <w:rsid w:val="000B3C3B"/>
    <w:rsid w:val="000B4202"/>
    <w:rsid w:val="000B43B4"/>
    <w:rsid w:val="000B44A5"/>
    <w:rsid w:val="000B4865"/>
    <w:rsid w:val="000B61A1"/>
    <w:rsid w:val="000B758A"/>
    <w:rsid w:val="000B7D6A"/>
    <w:rsid w:val="000C02BC"/>
    <w:rsid w:val="000C144C"/>
    <w:rsid w:val="000C1FBF"/>
    <w:rsid w:val="000C21BB"/>
    <w:rsid w:val="000C2EBB"/>
    <w:rsid w:val="000C3021"/>
    <w:rsid w:val="000C38F7"/>
    <w:rsid w:val="000C3A23"/>
    <w:rsid w:val="000C42B8"/>
    <w:rsid w:val="000C457F"/>
    <w:rsid w:val="000C47AF"/>
    <w:rsid w:val="000C4D45"/>
    <w:rsid w:val="000C51D8"/>
    <w:rsid w:val="000C5539"/>
    <w:rsid w:val="000C55BA"/>
    <w:rsid w:val="000C56BE"/>
    <w:rsid w:val="000C57E3"/>
    <w:rsid w:val="000C66E3"/>
    <w:rsid w:val="000C6DC6"/>
    <w:rsid w:val="000C6E15"/>
    <w:rsid w:val="000C73D2"/>
    <w:rsid w:val="000D1164"/>
    <w:rsid w:val="000D1487"/>
    <w:rsid w:val="000D1D68"/>
    <w:rsid w:val="000D1F81"/>
    <w:rsid w:val="000D21F1"/>
    <w:rsid w:val="000D24EC"/>
    <w:rsid w:val="000D32BF"/>
    <w:rsid w:val="000D3407"/>
    <w:rsid w:val="000D3BE6"/>
    <w:rsid w:val="000D4A1C"/>
    <w:rsid w:val="000D4C40"/>
    <w:rsid w:val="000D4CAD"/>
    <w:rsid w:val="000D4DE3"/>
    <w:rsid w:val="000D6F66"/>
    <w:rsid w:val="000D7572"/>
    <w:rsid w:val="000D7582"/>
    <w:rsid w:val="000E037A"/>
    <w:rsid w:val="000E0B18"/>
    <w:rsid w:val="000E2CDD"/>
    <w:rsid w:val="000E3A45"/>
    <w:rsid w:val="000E3C38"/>
    <w:rsid w:val="000E4B56"/>
    <w:rsid w:val="000E620B"/>
    <w:rsid w:val="000E7265"/>
    <w:rsid w:val="000E736C"/>
    <w:rsid w:val="000E7DBE"/>
    <w:rsid w:val="000E7FBD"/>
    <w:rsid w:val="000F0C96"/>
    <w:rsid w:val="000F17A6"/>
    <w:rsid w:val="000F1BD8"/>
    <w:rsid w:val="000F1C10"/>
    <w:rsid w:val="000F1E06"/>
    <w:rsid w:val="000F223E"/>
    <w:rsid w:val="000F2481"/>
    <w:rsid w:val="000F2E27"/>
    <w:rsid w:val="000F416A"/>
    <w:rsid w:val="000F4586"/>
    <w:rsid w:val="000F558C"/>
    <w:rsid w:val="000F5836"/>
    <w:rsid w:val="000F5E43"/>
    <w:rsid w:val="000F5FFE"/>
    <w:rsid w:val="000F6572"/>
    <w:rsid w:val="000F6AC8"/>
    <w:rsid w:val="000F7500"/>
    <w:rsid w:val="000F7EA3"/>
    <w:rsid w:val="00101D9C"/>
    <w:rsid w:val="001027C6"/>
    <w:rsid w:val="001031C2"/>
    <w:rsid w:val="00104E15"/>
    <w:rsid w:val="00105255"/>
    <w:rsid w:val="001063EA"/>
    <w:rsid w:val="00106F9E"/>
    <w:rsid w:val="001072EC"/>
    <w:rsid w:val="001158D5"/>
    <w:rsid w:val="00115956"/>
    <w:rsid w:val="00115E78"/>
    <w:rsid w:val="001162E3"/>
    <w:rsid w:val="001167AB"/>
    <w:rsid w:val="001175F3"/>
    <w:rsid w:val="0011788A"/>
    <w:rsid w:val="0011789C"/>
    <w:rsid w:val="0012067A"/>
    <w:rsid w:val="001215CE"/>
    <w:rsid w:val="00121BB3"/>
    <w:rsid w:val="00121CFD"/>
    <w:rsid w:val="00123BC8"/>
    <w:rsid w:val="00123CFE"/>
    <w:rsid w:val="0012474F"/>
    <w:rsid w:val="0012490E"/>
    <w:rsid w:val="00124ABD"/>
    <w:rsid w:val="00127DC0"/>
    <w:rsid w:val="001305FD"/>
    <w:rsid w:val="001307D4"/>
    <w:rsid w:val="00131C4E"/>
    <w:rsid w:val="00132A5A"/>
    <w:rsid w:val="001330CB"/>
    <w:rsid w:val="00133163"/>
    <w:rsid w:val="00133964"/>
    <w:rsid w:val="00133CA1"/>
    <w:rsid w:val="00134815"/>
    <w:rsid w:val="00134DB8"/>
    <w:rsid w:val="001355F8"/>
    <w:rsid w:val="001371F4"/>
    <w:rsid w:val="00137BA6"/>
    <w:rsid w:val="00140420"/>
    <w:rsid w:val="001404E7"/>
    <w:rsid w:val="00141D96"/>
    <w:rsid w:val="001422BD"/>
    <w:rsid w:val="0014294D"/>
    <w:rsid w:val="00142BB3"/>
    <w:rsid w:val="00142BE4"/>
    <w:rsid w:val="001435E4"/>
    <w:rsid w:val="00145539"/>
    <w:rsid w:val="00146BF7"/>
    <w:rsid w:val="001470CD"/>
    <w:rsid w:val="00147AE7"/>
    <w:rsid w:val="00147F32"/>
    <w:rsid w:val="0015120C"/>
    <w:rsid w:val="00151506"/>
    <w:rsid w:val="001516C7"/>
    <w:rsid w:val="001518E5"/>
    <w:rsid w:val="001538E6"/>
    <w:rsid w:val="001541E1"/>
    <w:rsid w:val="00155004"/>
    <w:rsid w:val="00155035"/>
    <w:rsid w:val="00155D47"/>
    <w:rsid w:val="0015717D"/>
    <w:rsid w:val="00157E9A"/>
    <w:rsid w:val="00160B99"/>
    <w:rsid w:val="0016234E"/>
    <w:rsid w:val="001623D1"/>
    <w:rsid w:val="001627AF"/>
    <w:rsid w:val="001629CB"/>
    <w:rsid w:val="001634D6"/>
    <w:rsid w:val="00163AE3"/>
    <w:rsid w:val="00163D62"/>
    <w:rsid w:val="00165B35"/>
    <w:rsid w:val="0016678F"/>
    <w:rsid w:val="001668A5"/>
    <w:rsid w:val="00166E25"/>
    <w:rsid w:val="00167D85"/>
    <w:rsid w:val="00170853"/>
    <w:rsid w:val="00170BDF"/>
    <w:rsid w:val="00170CEC"/>
    <w:rsid w:val="00171BD3"/>
    <w:rsid w:val="00172C40"/>
    <w:rsid w:val="001740F9"/>
    <w:rsid w:val="001751AF"/>
    <w:rsid w:val="001757A8"/>
    <w:rsid w:val="00175E0D"/>
    <w:rsid w:val="00177103"/>
    <w:rsid w:val="00177622"/>
    <w:rsid w:val="00177A4B"/>
    <w:rsid w:val="00180119"/>
    <w:rsid w:val="00180F82"/>
    <w:rsid w:val="00181897"/>
    <w:rsid w:val="00181A54"/>
    <w:rsid w:val="00182AD7"/>
    <w:rsid w:val="001834C8"/>
    <w:rsid w:val="00183557"/>
    <w:rsid w:val="00183A50"/>
    <w:rsid w:val="00183CAD"/>
    <w:rsid w:val="00184211"/>
    <w:rsid w:val="001848C5"/>
    <w:rsid w:val="00185242"/>
    <w:rsid w:val="001861FD"/>
    <w:rsid w:val="0018639B"/>
    <w:rsid w:val="00191A77"/>
    <w:rsid w:val="00193F94"/>
    <w:rsid w:val="00195535"/>
    <w:rsid w:val="001964EF"/>
    <w:rsid w:val="001969FB"/>
    <w:rsid w:val="00196AC0"/>
    <w:rsid w:val="001970E7"/>
    <w:rsid w:val="00197ABF"/>
    <w:rsid w:val="00197C27"/>
    <w:rsid w:val="001A09A0"/>
    <w:rsid w:val="001A0A7A"/>
    <w:rsid w:val="001A3517"/>
    <w:rsid w:val="001A351C"/>
    <w:rsid w:val="001A370F"/>
    <w:rsid w:val="001A44B6"/>
    <w:rsid w:val="001A4D23"/>
    <w:rsid w:val="001A64DF"/>
    <w:rsid w:val="001A685F"/>
    <w:rsid w:val="001A7289"/>
    <w:rsid w:val="001A7CC5"/>
    <w:rsid w:val="001B057B"/>
    <w:rsid w:val="001B0B54"/>
    <w:rsid w:val="001B2083"/>
    <w:rsid w:val="001B3CB4"/>
    <w:rsid w:val="001B450A"/>
    <w:rsid w:val="001B48AA"/>
    <w:rsid w:val="001B615E"/>
    <w:rsid w:val="001B62AA"/>
    <w:rsid w:val="001B6666"/>
    <w:rsid w:val="001B680D"/>
    <w:rsid w:val="001B6C0C"/>
    <w:rsid w:val="001B6C76"/>
    <w:rsid w:val="001B730A"/>
    <w:rsid w:val="001C15FE"/>
    <w:rsid w:val="001C1945"/>
    <w:rsid w:val="001C25BA"/>
    <w:rsid w:val="001C3598"/>
    <w:rsid w:val="001C3CC8"/>
    <w:rsid w:val="001C3FDC"/>
    <w:rsid w:val="001C4C60"/>
    <w:rsid w:val="001C5E20"/>
    <w:rsid w:val="001C5FE8"/>
    <w:rsid w:val="001C624D"/>
    <w:rsid w:val="001C730A"/>
    <w:rsid w:val="001C79FE"/>
    <w:rsid w:val="001D00A8"/>
    <w:rsid w:val="001D0779"/>
    <w:rsid w:val="001D0F92"/>
    <w:rsid w:val="001D2DC4"/>
    <w:rsid w:val="001D2FB1"/>
    <w:rsid w:val="001D3049"/>
    <w:rsid w:val="001D33EF"/>
    <w:rsid w:val="001D3A10"/>
    <w:rsid w:val="001D3BB2"/>
    <w:rsid w:val="001D4587"/>
    <w:rsid w:val="001D4CA1"/>
    <w:rsid w:val="001D54AD"/>
    <w:rsid w:val="001D5DE1"/>
    <w:rsid w:val="001D63F8"/>
    <w:rsid w:val="001D7096"/>
    <w:rsid w:val="001D70BF"/>
    <w:rsid w:val="001D7293"/>
    <w:rsid w:val="001D74E1"/>
    <w:rsid w:val="001E05C7"/>
    <w:rsid w:val="001E0E84"/>
    <w:rsid w:val="001E1282"/>
    <w:rsid w:val="001E1373"/>
    <w:rsid w:val="001E16C8"/>
    <w:rsid w:val="001E1847"/>
    <w:rsid w:val="001E24A2"/>
    <w:rsid w:val="001E33DF"/>
    <w:rsid w:val="001E4A08"/>
    <w:rsid w:val="001E4B5E"/>
    <w:rsid w:val="001E4E15"/>
    <w:rsid w:val="001E5195"/>
    <w:rsid w:val="001E5ED9"/>
    <w:rsid w:val="001E6D8F"/>
    <w:rsid w:val="001E75C5"/>
    <w:rsid w:val="001F124A"/>
    <w:rsid w:val="001F16B9"/>
    <w:rsid w:val="001F16DE"/>
    <w:rsid w:val="001F1C40"/>
    <w:rsid w:val="001F2D75"/>
    <w:rsid w:val="001F38D3"/>
    <w:rsid w:val="001F418B"/>
    <w:rsid w:val="001F429E"/>
    <w:rsid w:val="001F4590"/>
    <w:rsid w:val="001F4D15"/>
    <w:rsid w:val="001F4D90"/>
    <w:rsid w:val="001F5A2D"/>
    <w:rsid w:val="001F5CB6"/>
    <w:rsid w:val="001F60BF"/>
    <w:rsid w:val="001F656E"/>
    <w:rsid w:val="001F66F8"/>
    <w:rsid w:val="001F679B"/>
    <w:rsid w:val="001F68AB"/>
    <w:rsid w:val="001F6953"/>
    <w:rsid w:val="001F773E"/>
    <w:rsid w:val="001F780E"/>
    <w:rsid w:val="002001C2"/>
    <w:rsid w:val="002003FC"/>
    <w:rsid w:val="0020091A"/>
    <w:rsid w:val="00200D13"/>
    <w:rsid w:val="002019AA"/>
    <w:rsid w:val="00201AEE"/>
    <w:rsid w:val="00201C11"/>
    <w:rsid w:val="002024EA"/>
    <w:rsid w:val="00203112"/>
    <w:rsid w:val="00203697"/>
    <w:rsid w:val="002042C4"/>
    <w:rsid w:val="002048CA"/>
    <w:rsid w:val="00204F53"/>
    <w:rsid w:val="00205615"/>
    <w:rsid w:val="002062AA"/>
    <w:rsid w:val="0020636C"/>
    <w:rsid w:val="00206E12"/>
    <w:rsid w:val="002073E0"/>
    <w:rsid w:val="00207B6F"/>
    <w:rsid w:val="00210E54"/>
    <w:rsid w:val="00211057"/>
    <w:rsid w:val="00211B68"/>
    <w:rsid w:val="0021246B"/>
    <w:rsid w:val="00213334"/>
    <w:rsid w:val="0021404B"/>
    <w:rsid w:val="0021420F"/>
    <w:rsid w:val="00214566"/>
    <w:rsid w:val="0021497C"/>
    <w:rsid w:val="002149E2"/>
    <w:rsid w:val="002154E8"/>
    <w:rsid w:val="00215839"/>
    <w:rsid w:val="002161BB"/>
    <w:rsid w:val="00217686"/>
    <w:rsid w:val="002176B2"/>
    <w:rsid w:val="00221355"/>
    <w:rsid w:val="002216E7"/>
    <w:rsid w:val="002220CE"/>
    <w:rsid w:val="00222434"/>
    <w:rsid w:val="002244DE"/>
    <w:rsid w:val="00224AF7"/>
    <w:rsid w:val="00226755"/>
    <w:rsid w:val="002278FB"/>
    <w:rsid w:val="002307EC"/>
    <w:rsid w:val="00230848"/>
    <w:rsid w:val="00231A82"/>
    <w:rsid w:val="00231DBE"/>
    <w:rsid w:val="00233E57"/>
    <w:rsid w:val="00234505"/>
    <w:rsid w:val="00234774"/>
    <w:rsid w:val="00234C55"/>
    <w:rsid w:val="002353D8"/>
    <w:rsid w:val="002369E8"/>
    <w:rsid w:val="00236DAB"/>
    <w:rsid w:val="00237441"/>
    <w:rsid w:val="002402CB"/>
    <w:rsid w:val="002418F1"/>
    <w:rsid w:val="0024229C"/>
    <w:rsid w:val="00242762"/>
    <w:rsid w:val="00243613"/>
    <w:rsid w:val="00243751"/>
    <w:rsid w:val="00244094"/>
    <w:rsid w:val="0024490C"/>
    <w:rsid w:val="002454D9"/>
    <w:rsid w:val="00245502"/>
    <w:rsid w:val="00245B12"/>
    <w:rsid w:val="0024751D"/>
    <w:rsid w:val="00247CCC"/>
    <w:rsid w:val="00247E79"/>
    <w:rsid w:val="00251082"/>
    <w:rsid w:val="00251F60"/>
    <w:rsid w:val="00252FCA"/>
    <w:rsid w:val="00253713"/>
    <w:rsid w:val="002539F1"/>
    <w:rsid w:val="00253DD1"/>
    <w:rsid w:val="00254652"/>
    <w:rsid w:val="00254828"/>
    <w:rsid w:val="00254EDA"/>
    <w:rsid w:val="00255649"/>
    <w:rsid w:val="00256645"/>
    <w:rsid w:val="00257073"/>
    <w:rsid w:val="00257BF5"/>
    <w:rsid w:val="0026005B"/>
    <w:rsid w:val="00260961"/>
    <w:rsid w:val="00261F89"/>
    <w:rsid w:val="00262F27"/>
    <w:rsid w:val="002637A0"/>
    <w:rsid w:val="002642EF"/>
    <w:rsid w:val="0026539B"/>
    <w:rsid w:val="00266090"/>
    <w:rsid w:val="00266B27"/>
    <w:rsid w:val="00266E90"/>
    <w:rsid w:val="00267468"/>
    <w:rsid w:val="00271A5E"/>
    <w:rsid w:val="00271EA2"/>
    <w:rsid w:val="00273CCD"/>
    <w:rsid w:val="00273D5A"/>
    <w:rsid w:val="00273F04"/>
    <w:rsid w:val="0027451E"/>
    <w:rsid w:val="00275D16"/>
    <w:rsid w:val="00275E1D"/>
    <w:rsid w:val="002763C6"/>
    <w:rsid w:val="00276D50"/>
    <w:rsid w:val="002774F9"/>
    <w:rsid w:val="002778A8"/>
    <w:rsid w:val="00277AB7"/>
    <w:rsid w:val="0028063B"/>
    <w:rsid w:val="0028149D"/>
    <w:rsid w:val="00282D60"/>
    <w:rsid w:val="00283D66"/>
    <w:rsid w:val="002840E9"/>
    <w:rsid w:val="002843F2"/>
    <w:rsid w:val="002847B3"/>
    <w:rsid w:val="00285061"/>
    <w:rsid w:val="002850A7"/>
    <w:rsid w:val="00287C52"/>
    <w:rsid w:val="00290F79"/>
    <w:rsid w:val="002917A1"/>
    <w:rsid w:val="002933D5"/>
    <w:rsid w:val="00293B2C"/>
    <w:rsid w:val="00293B74"/>
    <w:rsid w:val="002942B9"/>
    <w:rsid w:val="002948A5"/>
    <w:rsid w:val="00294957"/>
    <w:rsid w:val="002950B2"/>
    <w:rsid w:val="0029524C"/>
    <w:rsid w:val="00295CE1"/>
    <w:rsid w:val="002962CC"/>
    <w:rsid w:val="0029707C"/>
    <w:rsid w:val="00297C43"/>
    <w:rsid w:val="00297C89"/>
    <w:rsid w:val="00297C98"/>
    <w:rsid w:val="00297D55"/>
    <w:rsid w:val="002A091A"/>
    <w:rsid w:val="002A112D"/>
    <w:rsid w:val="002A1303"/>
    <w:rsid w:val="002A161B"/>
    <w:rsid w:val="002A227E"/>
    <w:rsid w:val="002A345F"/>
    <w:rsid w:val="002A3586"/>
    <w:rsid w:val="002A3893"/>
    <w:rsid w:val="002A416B"/>
    <w:rsid w:val="002A494F"/>
    <w:rsid w:val="002A4E2D"/>
    <w:rsid w:val="002A5520"/>
    <w:rsid w:val="002A55B3"/>
    <w:rsid w:val="002A736A"/>
    <w:rsid w:val="002A783D"/>
    <w:rsid w:val="002A783E"/>
    <w:rsid w:val="002A79DB"/>
    <w:rsid w:val="002B0459"/>
    <w:rsid w:val="002B06CF"/>
    <w:rsid w:val="002B1281"/>
    <w:rsid w:val="002B2276"/>
    <w:rsid w:val="002B3756"/>
    <w:rsid w:val="002B53AD"/>
    <w:rsid w:val="002B561C"/>
    <w:rsid w:val="002B57B2"/>
    <w:rsid w:val="002B5ACA"/>
    <w:rsid w:val="002B67B1"/>
    <w:rsid w:val="002B6DD1"/>
    <w:rsid w:val="002C08C9"/>
    <w:rsid w:val="002C0D6B"/>
    <w:rsid w:val="002C101F"/>
    <w:rsid w:val="002C1670"/>
    <w:rsid w:val="002C350C"/>
    <w:rsid w:val="002C37BD"/>
    <w:rsid w:val="002C3DD3"/>
    <w:rsid w:val="002C46BF"/>
    <w:rsid w:val="002C55C0"/>
    <w:rsid w:val="002C5727"/>
    <w:rsid w:val="002C57B0"/>
    <w:rsid w:val="002C5BFA"/>
    <w:rsid w:val="002C5EA5"/>
    <w:rsid w:val="002C6673"/>
    <w:rsid w:val="002C771C"/>
    <w:rsid w:val="002C7B42"/>
    <w:rsid w:val="002D08F0"/>
    <w:rsid w:val="002D117D"/>
    <w:rsid w:val="002D19D1"/>
    <w:rsid w:val="002D2565"/>
    <w:rsid w:val="002D27DE"/>
    <w:rsid w:val="002D29FE"/>
    <w:rsid w:val="002D3B49"/>
    <w:rsid w:val="002D4659"/>
    <w:rsid w:val="002D4851"/>
    <w:rsid w:val="002D4D0A"/>
    <w:rsid w:val="002D64CB"/>
    <w:rsid w:val="002D686C"/>
    <w:rsid w:val="002D69AA"/>
    <w:rsid w:val="002D732F"/>
    <w:rsid w:val="002E017D"/>
    <w:rsid w:val="002E0181"/>
    <w:rsid w:val="002E0473"/>
    <w:rsid w:val="002E07A9"/>
    <w:rsid w:val="002E0F21"/>
    <w:rsid w:val="002E1E4B"/>
    <w:rsid w:val="002E1FB2"/>
    <w:rsid w:val="002E31B9"/>
    <w:rsid w:val="002E3739"/>
    <w:rsid w:val="002E6107"/>
    <w:rsid w:val="002E7311"/>
    <w:rsid w:val="002F13C7"/>
    <w:rsid w:val="002F2215"/>
    <w:rsid w:val="002F254A"/>
    <w:rsid w:val="002F270C"/>
    <w:rsid w:val="002F3A42"/>
    <w:rsid w:val="002F3C72"/>
    <w:rsid w:val="002F405F"/>
    <w:rsid w:val="002F4D53"/>
    <w:rsid w:val="002F50DB"/>
    <w:rsid w:val="002F5247"/>
    <w:rsid w:val="002F5B7F"/>
    <w:rsid w:val="002F6455"/>
    <w:rsid w:val="002F66CD"/>
    <w:rsid w:val="002F6E01"/>
    <w:rsid w:val="003004E3"/>
    <w:rsid w:val="00300C59"/>
    <w:rsid w:val="00300F4D"/>
    <w:rsid w:val="0030182D"/>
    <w:rsid w:val="00301CC9"/>
    <w:rsid w:val="00302238"/>
    <w:rsid w:val="00302529"/>
    <w:rsid w:val="00302748"/>
    <w:rsid w:val="00302D7E"/>
    <w:rsid w:val="00303267"/>
    <w:rsid w:val="00303871"/>
    <w:rsid w:val="00303BBD"/>
    <w:rsid w:val="0030538B"/>
    <w:rsid w:val="003053A8"/>
    <w:rsid w:val="003057CC"/>
    <w:rsid w:val="00306BF7"/>
    <w:rsid w:val="0031000C"/>
    <w:rsid w:val="00313476"/>
    <w:rsid w:val="00313B0A"/>
    <w:rsid w:val="00314179"/>
    <w:rsid w:val="003143EB"/>
    <w:rsid w:val="00314984"/>
    <w:rsid w:val="0031597E"/>
    <w:rsid w:val="00316B7A"/>
    <w:rsid w:val="00317A4E"/>
    <w:rsid w:val="00321969"/>
    <w:rsid w:val="00321BFD"/>
    <w:rsid w:val="00322544"/>
    <w:rsid w:val="003225D8"/>
    <w:rsid w:val="003234B2"/>
    <w:rsid w:val="00323C8A"/>
    <w:rsid w:val="003249E4"/>
    <w:rsid w:val="00325034"/>
    <w:rsid w:val="003251FB"/>
    <w:rsid w:val="00325E2C"/>
    <w:rsid w:val="00326639"/>
    <w:rsid w:val="00327415"/>
    <w:rsid w:val="0033022A"/>
    <w:rsid w:val="003303E3"/>
    <w:rsid w:val="003306F9"/>
    <w:rsid w:val="003309D1"/>
    <w:rsid w:val="00331349"/>
    <w:rsid w:val="0033257A"/>
    <w:rsid w:val="003334DE"/>
    <w:rsid w:val="003339C7"/>
    <w:rsid w:val="00334117"/>
    <w:rsid w:val="00335590"/>
    <w:rsid w:val="00335A10"/>
    <w:rsid w:val="00335D15"/>
    <w:rsid w:val="00335F70"/>
    <w:rsid w:val="0033614D"/>
    <w:rsid w:val="00336157"/>
    <w:rsid w:val="00336207"/>
    <w:rsid w:val="00336670"/>
    <w:rsid w:val="00336821"/>
    <w:rsid w:val="00336E21"/>
    <w:rsid w:val="00337024"/>
    <w:rsid w:val="0034029D"/>
    <w:rsid w:val="00340971"/>
    <w:rsid w:val="003410B4"/>
    <w:rsid w:val="00342B0B"/>
    <w:rsid w:val="003433C4"/>
    <w:rsid w:val="0034374B"/>
    <w:rsid w:val="00343AC6"/>
    <w:rsid w:val="0034419F"/>
    <w:rsid w:val="0034478A"/>
    <w:rsid w:val="0034482F"/>
    <w:rsid w:val="00345292"/>
    <w:rsid w:val="00345401"/>
    <w:rsid w:val="00345902"/>
    <w:rsid w:val="0034729B"/>
    <w:rsid w:val="00347473"/>
    <w:rsid w:val="00347816"/>
    <w:rsid w:val="00350501"/>
    <w:rsid w:val="0035110B"/>
    <w:rsid w:val="0035158F"/>
    <w:rsid w:val="00351776"/>
    <w:rsid w:val="00351E87"/>
    <w:rsid w:val="0035220B"/>
    <w:rsid w:val="0035233A"/>
    <w:rsid w:val="00354DCC"/>
    <w:rsid w:val="00354FC9"/>
    <w:rsid w:val="0035648C"/>
    <w:rsid w:val="003577F0"/>
    <w:rsid w:val="003578DB"/>
    <w:rsid w:val="00357BD2"/>
    <w:rsid w:val="00360A30"/>
    <w:rsid w:val="003619EC"/>
    <w:rsid w:val="003639C8"/>
    <w:rsid w:val="00363BEA"/>
    <w:rsid w:val="00364122"/>
    <w:rsid w:val="003649B4"/>
    <w:rsid w:val="00364AF8"/>
    <w:rsid w:val="00365CA9"/>
    <w:rsid w:val="003660B4"/>
    <w:rsid w:val="003663F5"/>
    <w:rsid w:val="0036659E"/>
    <w:rsid w:val="00366BD5"/>
    <w:rsid w:val="00367EE2"/>
    <w:rsid w:val="0037004F"/>
    <w:rsid w:val="0037032C"/>
    <w:rsid w:val="00372733"/>
    <w:rsid w:val="00372DE8"/>
    <w:rsid w:val="00373074"/>
    <w:rsid w:val="00373C03"/>
    <w:rsid w:val="00374525"/>
    <w:rsid w:val="0037575F"/>
    <w:rsid w:val="00377228"/>
    <w:rsid w:val="003779B9"/>
    <w:rsid w:val="003820DF"/>
    <w:rsid w:val="00383983"/>
    <w:rsid w:val="003849F6"/>
    <w:rsid w:val="00384A26"/>
    <w:rsid w:val="00384B4E"/>
    <w:rsid w:val="00385737"/>
    <w:rsid w:val="0038707A"/>
    <w:rsid w:val="003871D2"/>
    <w:rsid w:val="00387D1A"/>
    <w:rsid w:val="00387E45"/>
    <w:rsid w:val="0039032B"/>
    <w:rsid w:val="0039178D"/>
    <w:rsid w:val="0039218B"/>
    <w:rsid w:val="00392270"/>
    <w:rsid w:val="0039290E"/>
    <w:rsid w:val="003931AA"/>
    <w:rsid w:val="00393224"/>
    <w:rsid w:val="00393512"/>
    <w:rsid w:val="00393FE3"/>
    <w:rsid w:val="003945FC"/>
    <w:rsid w:val="00395F52"/>
    <w:rsid w:val="00395F77"/>
    <w:rsid w:val="00396D1F"/>
    <w:rsid w:val="00397E0F"/>
    <w:rsid w:val="003A0BC4"/>
    <w:rsid w:val="003A180B"/>
    <w:rsid w:val="003A2735"/>
    <w:rsid w:val="003A28F6"/>
    <w:rsid w:val="003A2F3F"/>
    <w:rsid w:val="003A3682"/>
    <w:rsid w:val="003A36B5"/>
    <w:rsid w:val="003A5499"/>
    <w:rsid w:val="003A5BCC"/>
    <w:rsid w:val="003A5F07"/>
    <w:rsid w:val="003A6A84"/>
    <w:rsid w:val="003B012A"/>
    <w:rsid w:val="003B0A39"/>
    <w:rsid w:val="003B129E"/>
    <w:rsid w:val="003B1D6A"/>
    <w:rsid w:val="003B2267"/>
    <w:rsid w:val="003B22C2"/>
    <w:rsid w:val="003B2BE7"/>
    <w:rsid w:val="003B2BF5"/>
    <w:rsid w:val="003B3A42"/>
    <w:rsid w:val="003B3A83"/>
    <w:rsid w:val="003B40CA"/>
    <w:rsid w:val="003B42EA"/>
    <w:rsid w:val="003B496B"/>
    <w:rsid w:val="003B4A2C"/>
    <w:rsid w:val="003B4EF1"/>
    <w:rsid w:val="003B5624"/>
    <w:rsid w:val="003B6021"/>
    <w:rsid w:val="003B66F5"/>
    <w:rsid w:val="003B6A24"/>
    <w:rsid w:val="003B6F9B"/>
    <w:rsid w:val="003B70FC"/>
    <w:rsid w:val="003B7B89"/>
    <w:rsid w:val="003B7E3D"/>
    <w:rsid w:val="003C0308"/>
    <w:rsid w:val="003C06A2"/>
    <w:rsid w:val="003C07BC"/>
    <w:rsid w:val="003C0EDB"/>
    <w:rsid w:val="003C14B1"/>
    <w:rsid w:val="003C1816"/>
    <w:rsid w:val="003C21ED"/>
    <w:rsid w:val="003C26E8"/>
    <w:rsid w:val="003C45BB"/>
    <w:rsid w:val="003C5BA8"/>
    <w:rsid w:val="003C7AD7"/>
    <w:rsid w:val="003D054C"/>
    <w:rsid w:val="003D0ABA"/>
    <w:rsid w:val="003D0B75"/>
    <w:rsid w:val="003D23E0"/>
    <w:rsid w:val="003D3128"/>
    <w:rsid w:val="003D31EB"/>
    <w:rsid w:val="003D37FD"/>
    <w:rsid w:val="003D3B3A"/>
    <w:rsid w:val="003D3E4B"/>
    <w:rsid w:val="003D3ED7"/>
    <w:rsid w:val="003D423A"/>
    <w:rsid w:val="003D4C75"/>
    <w:rsid w:val="003D6231"/>
    <w:rsid w:val="003D7270"/>
    <w:rsid w:val="003D76CF"/>
    <w:rsid w:val="003E0F4F"/>
    <w:rsid w:val="003E1F1F"/>
    <w:rsid w:val="003E2B7E"/>
    <w:rsid w:val="003E3B60"/>
    <w:rsid w:val="003E3B70"/>
    <w:rsid w:val="003E3D58"/>
    <w:rsid w:val="003E41A3"/>
    <w:rsid w:val="003E5A53"/>
    <w:rsid w:val="003E5C13"/>
    <w:rsid w:val="003E5E82"/>
    <w:rsid w:val="003E632C"/>
    <w:rsid w:val="003E664D"/>
    <w:rsid w:val="003E6A21"/>
    <w:rsid w:val="003E6D1E"/>
    <w:rsid w:val="003E7081"/>
    <w:rsid w:val="003E7353"/>
    <w:rsid w:val="003F10B0"/>
    <w:rsid w:val="003F1B27"/>
    <w:rsid w:val="003F1F7A"/>
    <w:rsid w:val="003F21C6"/>
    <w:rsid w:val="003F2345"/>
    <w:rsid w:val="003F26D1"/>
    <w:rsid w:val="003F49D0"/>
    <w:rsid w:val="003F4DE0"/>
    <w:rsid w:val="003F53CB"/>
    <w:rsid w:val="003F6777"/>
    <w:rsid w:val="003F6C8A"/>
    <w:rsid w:val="003F7475"/>
    <w:rsid w:val="004008A2"/>
    <w:rsid w:val="0040103D"/>
    <w:rsid w:val="00401176"/>
    <w:rsid w:val="00401327"/>
    <w:rsid w:val="0040251C"/>
    <w:rsid w:val="00403F32"/>
    <w:rsid w:val="00404316"/>
    <w:rsid w:val="0040431B"/>
    <w:rsid w:val="00404978"/>
    <w:rsid w:val="0040500C"/>
    <w:rsid w:val="004052DF"/>
    <w:rsid w:val="00405B57"/>
    <w:rsid w:val="00406258"/>
    <w:rsid w:val="004066E3"/>
    <w:rsid w:val="00406EA9"/>
    <w:rsid w:val="00410430"/>
    <w:rsid w:val="00410761"/>
    <w:rsid w:val="00410D9F"/>
    <w:rsid w:val="0041346A"/>
    <w:rsid w:val="00413E0A"/>
    <w:rsid w:val="00414600"/>
    <w:rsid w:val="004151E9"/>
    <w:rsid w:val="00415768"/>
    <w:rsid w:val="00415BEA"/>
    <w:rsid w:val="00415C56"/>
    <w:rsid w:val="00416FDD"/>
    <w:rsid w:val="004172D5"/>
    <w:rsid w:val="004173EB"/>
    <w:rsid w:val="00420289"/>
    <w:rsid w:val="004213BD"/>
    <w:rsid w:val="004213D3"/>
    <w:rsid w:val="004216AA"/>
    <w:rsid w:val="00422349"/>
    <w:rsid w:val="0042243C"/>
    <w:rsid w:val="00422EB9"/>
    <w:rsid w:val="0042375F"/>
    <w:rsid w:val="00423F51"/>
    <w:rsid w:val="00424AAF"/>
    <w:rsid w:val="0042542C"/>
    <w:rsid w:val="00425574"/>
    <w:rsid w:val="00425EE9"/>
    <w:rsid w:val="00427809"/>
    <w:rsid w:val="00427AD9"/>
    <w:rsid w:val="00427C7C"/>
    <w:rsid w:val="00427D03"/>
    <w:rsid w:val="00430130"/>
    <w:rsid w:val="0043181C"/>
    <w:rsid w:val="004318C4"/>
    <w:rsid w:val="00431A4F"/>
    <w:rsid w:val="0043242E"/>
    <w:rsid w:val="00433DC2"/>
    <w:rsid w:val="00433FB9"/>
    <w:rsid w:val="00434074"/>
    <w:rsid w:val="0043427C"/>
    <w:rsid w:val="00434298"/>
    <w:rsid w:val="00434458"/>
    <w:rsid w:val="00434581"/>
    <w:rsid w:val="004354E9"/>
    <w:rsid w:val="004356F2"/>
    <w:rsid w:val="00436BF9"/>
    <w:rsid w:val="00436E46"/>
    <w:rsid w:val="004376BB"/>
    <w:rsid w:val="00440200"/>
    <w:rsid w:val="00440D51"/>
    <w:rsid w:val="00440E2B"/>
    <w:rsid w:val="00441CE2"/>
    <w:rsid w:val="00441E23"/>
    <w:rsid w:val="00442F7D"/>
    <w:rsid w:val="00443011"/>
    <w:rsid w:val="00443459"/>
    <w:rsid w:val="004447E2"/>
    <w:rsid w:val="00444D98"/>
    <w:rsid w:val="00446253"/>
    <w:rsid w:val="00446607"/>
    <w:rsid w:val="0044749A"/>
    <w:rsid w:val="00447D1F"/>
    <w:rsid w:val="00447E11"/>
    <w:rsid w:val="004503DC"/>
    <w:rsid w:val="00451FEC"/>
    <w:rsid w:val="004523A2"/>
    <w:rsid w:val="00453907"/>
    <w:rsid w:val="004546E3"/>
    <w:rsid w:val="00456E1A"/>
    <w:rsid w:val="004572F9"/>
    <w:rsid w:val="00457ADB"/>
    <w:rsid w:val="0046003C"/>
    <w:rsid w:val="004600F6"/>
    <w:rsid w:val="00461F02"/>
    <w:rsid w:val="0046387E"/>
    <w:rsid w:val="00463DC3"/>
    <w:rsid w:val="00464037"/>
    <w:rsid w:val="00464C2B"/>
    <w:rsid w:val="004652D6"/>
    <w:rsid w:val="00465F87"/>
    <w:rsid w:val="00467DF9"/>
    <w:rsid w:val="00471251"/>
    <w:rsid w:val="0047152E"/>
    <w:rsid w:val="00471654"/>
    <w:rsid w:val="0047188F"/>
    <w:rsid w:val="0047326C"/>
    <w:rsid w:val="004740C7"/>
    <w:rsid w:val="00474550"/>
    <w:rsid w:val="0047467B"/>
    <w:rsid w:val="00474D31"/>
    <w:rsid w:val="004750F9"/>
    <w:rsid w:val="00475BCF"/>
    <w:rsid w:val="00475DF9"/>
    <w:rsid w:val="00476215"/>
    <w:rsid w:val="00476B7C"/>
    <w:rsid w:val="004776E0"/>
    <w:rsid w:val="0047793A"/>
    <w:rsid w:val="00480605"/>
    <w:rsid w:val="00480BB3"/>
    <w:rsid w:val="00482857"/>
    <w:rsid w:val="0048361A"/>
    <w:rsid w:val="00483E59"/>
    <w:rsid w:val="00483E7B"/>
    <w:rsid w:val="00484577"/>
    <w:rsid w:val="00484614"/>
    <w:rsid w:val="0048546A"/>
    <w:rsid w:val="00485538"/>
    <w:rsid w:val="00485E50"/>
    <w:rsid w:val="00486F18"/>
    <w:rsid w:val="00490266"/>
    <w:rsid w:val="004909FC"/>
    <w:rsid w:val="004916CA"/>
    <w:rsid w:val="00492A5A"/>
    <w:rsid w:val="00492E76"/>
    <w:rsid w:val="00493BDF"/>
    <w:rsid w:val="00493C66"/>
    <w:rsid w:val="00494466"/>
    <w:rsid w:val="004953F7"/>
    <w:rsid w:val="00496AB5"/>
    <w:rsid w:val="00496AF8"/>
    <w:rsid w:val="00496C69"/>
    <w:rsid w:val="00497433"/>
    <w:rsid w:val="00497ABE"/>
    <w:rsid w:val="004A002F"/>
    <w:rsid w:val="004A0255"/>
    <w:rsid w:val="004A0487"/>
    <w:rsid w:val="004A086D"/>
    <w:rsid w:val="004A0A0F"/>
    <w:rsid w:val="004A2175"/>
    <w:rsid w:val="004A397D"/>
    <w:rsid w:val="004A4396"/>
    <w:rsid w:val="004A4F57"/>
    <w:rsid w:val="004A5799"/>
    <w:rsid w:val="004A6074"/>
    <w:rsid w:val="004A6449"/>
    <w:rsid w:val="004A7631"/>
    <w:rsid w:val="004A777C"/>
    <w:rsid w:val="004A7856"/>
    <w:rsid w:val="004B03DB"/>
    <w:rsid w:val="004B1841"/>
    <w:rsid w:val="004B37BD"/>
    <w:rsid w:val="004B3DC0"/>
    <w:rsid w:val="004B4368"/>
    <w:rsid w:val="004B4722"/>
    <w:rsid w:val="004B4D22"/>
    <w:rsid w:val="004B5106"/>
    <w:rsid w:val="004B59A8"/>
    <w:rsid w:val="004B5DA0"/>
    <w:rsid w:val="004B62FE"/>
    <w:rsid w:val="004B74AF"/>
    <w:rsid w:val="004B7BFB"/>
    <w:rsid w:val="004B7C89"/>
    <w:rsid w:val="004C004A"/>
    <w:rsid w:val="004C0189"/>
    <w:rsid w:val="004C03E7"/>
    <w:rsid w:val="004C1D0D"/>
    <w:rsid w:val="004C2E72"/>
    <w:rsid w:val="004C32E6"/>
    <w:rsid w:val="004C3B55"/>
    <w:rsid w:val="004C566F"/>
    <w:rsid w:val="004C5EE9"/>
    <w:rsid w:val="004C61F5"/>
    <w:rsid w:val="004C6A2D"/>
    <w:rsid w:val="004C7885"/>
    <w:rsid w:val="004D02CA"/>
    <w:rsid w:val="004D062B"/>
    <w:rsid w:val="004D096C"/>
    <w:rsid w:val="004D0BDA"/>
    <w:rsid w:val="004D167A"/>
    <w:rsid w:val="004D1957"/>
    <w:rsid w:val="004D2099"/>
    <w:rsid w:val="004D20D5"/>
    <w:rsid w:val="004D2B94"/>
    <w:rsid w:val="004D2C9A"/>
    <w:rsid w:val="004D3613"/>
    <w:rsid w:val="004D5887"/>
    <w:rsid w:val="004D5BDE"/>
    <w:rsid w:val="004D67FE"/>
    <w:rsid w:val="004D6FCF"/>
    <w:rsid w:val="004D7F5A"/>
    <w:rsid w:val="004E02D2"/>
    <w:rsid w:val="004E142D"/>
    <w:rsid w:val="004E194E"/>
    <w:rsid w:val="004E36BA"/>
    <w:rsid w:val="004E3A87"/>
    <w:rsid w:val="004E40C3"/>
    <w:rsid w:val="004E44C0"/>
    <w:rsid w:val="004E495A"/>
    <w:rsid w:val="004E50C0"/>
    <w:rsid w:val="004E5652"/>
    <w:rsid w:val="004E5A68"/>
    <w:rsid w:val="004E5E9F"/>
    <w:rsid w:val="004E69FC"/>
    <w:rsid w:val="004E7235"/>
    <w:rsid w:val="004E7F47"/>
    <w:rsid w:val="004F1724"/>
    <w:rsid w:val="004F3119"/>
    <w:rsid w:val="004F322E"/>
    <w:rsid w:val="004F3325"/>
    <w:rsid w:val="004F406E"/>
    <w:rsid w:val="004F4078"/>
    <w:rsid w:val="004F44C3"/>
    <w:rsid w:val="004F46EE"/>
    <w:rsid w:val="004F7044"/>
    <w:rsid w:val="004F7437"/>
    <w:rsid w:val="004F778D"/>
    <w:rsid w:val="004F7AA4"/>
    <w:rsid w:val="004F7DE1"/>
    <w:rsid w:val="005003C8"/>
    <w:rsid w:val="0050208E"/>
    <w:rsid w:val="005023D2"/>
    <w:rsid w:val="0050451B"/>
    <w:rsid w:val="00504C57"/>
    <w:rsid w:val="00504CBF"/>
    <w:rsid w:val="005064B0"/>
    <w:rsid w:val="00506B56"/>
    <w:rsid w:val="0050705D"/>
    <w:rsid w:val="0051054E"/>
    <w:rsid w:val="00510E67"/>
    <w:rsid w:val="005112FC"/>
    <w:rsid w:val="00511CA5"/>
    <w:rsid w:val="00511E16"/>
    <w:rsid w:val="0051269B"/>
    <w:rsid w:val="005131B5"/>
    <w:rsid w:val="005139BE"/>
    <w:rsid w:val="00513D30"/>
    <w:rsid w:val="00513E83"/>
    <w:rsid w:val="0051414D"/>
    <w:rsid w:val="00514E48"/>
    <w:rsid w:val="0051550D"/>
    <w:rsid w:val="00515930"/>
    <w:rsid w:val="00515BF3"/>
    <w:rsid w:val="00515F8C"/>
    <w:rsid w:val="005165E0"/>
    <w:rsid w:val="00517101"/>
    <w:rsid w:val="00517794"/>
    <w:rsid w:val="00517CE7"/>
    <w:rsid w:val="00520212"/>
    <w:rsid w:val="00520C06"/>
    <w:rsid w:val="00521088"/>
    <w:rsid w:val="00521A50"/>
    <w:rsid w:val="0052211F"/>
    <w:rsid w:val="00522503"/>
    <w:rsid w:val="00522DE0"/>
    <w:rsid w:val="00523224"/>
    <w:rsid w:val="00523C9C"/>
    <w:rsid w:val="00524C8F"/>
    <w:rsid w:val="0052565D"/>
    <w:rsid w:val="00525A59"/>
    <w:rsid w:val="00525C15"/>
    <w:rsid w:val="005261C7"/>
    <w:rsid w:val="005262E8"/>
    <w:rsid w:val="00526364"/>
    <w:rsid w:val="005269D0"/>
    <w:rsid w:val="00527654"/>
    <w:rsid w:val="00527BCC"/>
    <w:rsid w:val="00530124"/>
    <w:rsid w:val="005307DD"/>
    <w:rsid w:val="00530E62"/>
    <w:rsid w:val="00531579"/>
    <w:rsid w:val="00531B33"/>
    <w:rsid w:val="00531E1A"/>
    <w:rsid w:val="0053279E"/>
    <w:rsid w:val="0053303B"/>
    <w:rsid w:val="00533E6E"/>
    <w:rsid w:val="00534068"/>
    <w:rsid w:val="00534A76"/>
    <w:rsid w:val="00535ADA"/>
    <w:rsid w:val="00536AB6"/>
    <w:rsid w:val="00537531"/>
    <w:rsid w:val="005400D6"/>
    <w:rsid w:val="00540288"/>
    <w:rsid w:val="00540F53"/>
    <w:rsid w:val="00542720"/>
    <w:rsid w:val="0054287C"/>
    <w:rsid w:val="00542B98"/>
    <w:rsid w:val="00543387"/>
    <w:rsid w:val="00543B7D"/>
    <w:rsid w:val="00544A2C"/>
    <w:rsid w:val="00545918"/>
    <w:rsid w:val="00547052"/>
    <w:rsid w:val="005504BE"/>
    <w:rsid w:val="00550834"/>
    <w:rsid w:val="00550CAC"/>
    <w:rsid w:val="0055127B"/>
    <w:rsid w:val="00551348"/>
    <w:rsid w:val="00551BF2"/>
    <w:rsid w:val="00552AB5"/>
    <w:rsid w:val="00552D1E"/>
    <w:rsid w:val="00552E8B"/>
    <w:rsid w:val="0055309F"/>
    <w:rsid w:val="005531E2"/>
    <w:rsid w:val="005545D2"/>
    <w:rsid w:val="005548D3"/>
    <w:rsid w:val="00554A53"/>
    <w:rsid w:val="00554AD4"/>
    <w:rsid w:val="00555020"/>
    <w:rsid w:val="005556CC"/>
    <w:rsid w:val="00555D5B"/>
    <w:rsid w:val="00556687"/>
    <w:rsid w:val="00556C04"/>
    <w:rsid w:val="00557080"/>
    <w:rsid w:val="00557562"/>
    <w:rsid w:val="005575A5"/>
    <w:rsid w:val="0055780C"/>
    <w:rsid w:val="005578A8"/>
    <w:rsid w:val="00561540"/>
    <w:rsid w:val="00561562"/>
    <w:rsid w:val="00561E11"/>
    <w:rsid w:val="00562DC5"/>
    <w:rsid w:val="0056588F"/>
    <w:rsid w:val="00565EDC"/>
    <w:rsid w:val="00567B20"/>
    <w:rsid w:val="00567C93"/>
    <w:rsid w:val="00567F82"/>
    <w:rsid w:val="005710AF"/>
    <w:rsid w:val="005712A2"/>
    <w:rsid w:val="005724C0"/>
    <w:rsid w:val="0057265D"/>
    <w:rsid w:val="00573455"/>
    <w:rsid w:val="0057397F"/>
    <w:rsid w:val="00573E5B"/>
    <w:rsid w:val="00574A69"/>
    <w:rsid w:val="00574D91"/>
    <w:rsid w:val="0057595B"/>
    <w:rsid w:val="005759F3"/>
    <w:rsid w:val="00575B96"/>
    <w:rsid w:val="005775D9"/>
    <w:rsid w:val="005777DE"/>
    <w:rsid w:val="00577E35"/>
    <w:rsid w:val="00577FB1"/>
    <w:rsid w:val="005822FB"/>
    <w:rsid w:val="005832ED"/>
    <w:rsid w:val="0058442D"/>
    <w:rsid w:val="005845B4"/>
    <w:rsid w:val="00584B97"/>
    <w:rsid w:val="00584EB8"/>
    <w:rsid w:val="005851BB"/>
    <w:rsid w:val="00585A53"/>
    <w:rsid w:val="00585CF6"/>
    <w:rsid w:val="00586280"/>
    <w:rsid w:val="0058666E"/>
    <w:rsid w:val="00586831"/>
    <w:rsid w:val="00587C31"/>
    <w:rsid w:val="00590ED8"/>
    <w:rsid w:val="00591697"/>
    <w:rsid w:val="00591B6C"/>
    <w:rsid w:val="00593A7C"/>
    <w:rsid w:val="00594185"/>
    <w:rsid w:val="00594469"/>
    <w:rsid w:val="005959FF"/>
    <w:rsid w:val="00595F77"/>
    <w:rsid w:val="00596106"/>
    <w:rsid w:val="00596790"/>
    <w:rsid w:val="00596D1D"/>
    <w:rsid w:val="005A01D1"/>
    <w:rsid w:val="005A0256"/>
    <w:rsid w:val="005A1248"/>
    <w:rsid w:val="005A1B7C"/>
    <w:rsid w:val="005A1D46"/>
    <w:rsid w:val="005A202B"/>
    <w:rsid w:val="005A21A9"/>
    <w:rsid w:val="005A2308"/>
    <w:rsid w:val="005A2930"/>
    <w:rsid w:val="005A384E"/>
    <w:rsid w:val="005A3E90"/>
    <w:rsid w:val="005A52A1"/>
    <w:rsid w:val="005A5C3E"/>
    <w:rsid w:val="005A6D1D"/>
    <w:rsid w:val="005B0778"/>
    <w:rsid w:val="005B0D55"/>
    <w:rsid w:val="005B0E88"/>
    <w:rsid w:val="005B0E98"/>
    <w:rsid w:val="005B117F"/>
    <w:rsid w:val="005B1227"/>
    <w:rsid w:val="005B1253"/>
    <w:rsid w:val="005B14E3"/>
    <w:rsid w:val="005B1959"/>
    <w:rsid w:val="005B2631"/>
    <w:rsid w:val="005B2A3D"/>
    <w:rsid w:val="005B33CA"/>
    <w:rsid w:val="005B421E"/>
    <w:rsid w:val="005B5046"/>
    <w:rsid w:val="005B54CC"/>
    <w:rsid w:val="005B5814"/>
    <w:rsid w:val="005B590F"/>
    <w:rsid w:val="005B66EE"/>
    <w:rsid w:val="005B6F63"/>
    <w:rsid w:val="005C0033"/>
    <w:rsid w:val="005C01C7"/>
    <w:rsid w:val="005C07FE"/>
    <w:rsid w:val="005C0EB7"/>
    <w:rsid w:val="005C20F0"/>
    <w:rsid w:val="005C2E55"/>
    <w:rsid w:val="005C3BD2"/>
    <w:rsid w:val="005C43ED"/>
    <w:rsid w:val="005C5958"/>
    <w:rsid w:val="005C61BD"/>
    <w:rsid w:val="005C6B44"/>
    <w:rsid w:val="005C711F"/>
    <w:rsid w:val="005C720C"/>
    <w:rsid w:val="005C7269"/>
    <w:rsid w:val="005C7272"/>
    <w:rsid w:val="005C73A9"/>
    <w:rsid w:val="005C7464"/>
    <w:rsid w:val="005C75F5"/>
    <w:rsid w:val="005C784F"/>
    <w:rsid w:val="005C7F31"/>
    <w:rsid w:val="005D0365"/>
    <w:rsid w:val="005D070B"/>
    <w:rsid w:val="005D105F"/>
    <w:rsid w:val="005D1161"/>
    <w:rsid w:val="005D193C"/>
    <w:rsid w:val="005D1F9E"/>
    <w:rsid w:val="005D246D"/>
    <w:rsid w:val="005D2B0A"/>
    <w:rsid w:val="005D4EF1"/>
    <w:rsid w:val="005D534F"/>
    <w:rsid w:val="005D5631"/>
    <w:rsid w:val="005D5935"/>
    <w:rsid w:val="005D682A"/>
    <w:rsid w:val="005D6F8F"/>
    <w:rsid w:val="005D724F"/>
    <w:rsid w:val="005D7AC1"/>
    <w:rsid w:val="005D7E6B"/>
    <w:rsid w:val="005E08F8"/>
    <w:rsid w:val="005E0B56"/>
    <w:rsid w:val="005E0DDC"/>
    <w:rsid w:val="005E1D4B"/>
    <w:rsid w:val="005E24AE"/>
    <w:rsid w:val="005E2816"/>
    <w:rsid w:val="005E3729"/>
    <w:rsid w:val="005E4A63"/>
    <w:rsid w:val="005E4B36"/>
    <w:rsid w:val="005E6BCB"/>
    <w:rsid w:val="005E7448"/>
    <w:rsid w:val="005F00C6"/>
    <w:rsid w:val="005F023D"/>
    <w:rsid w:val="005F0442"/>
    <w:rsid w:val="005F0577"/>
    <w:rsid w:val="005F2916"/>
    <w:rsid w:val="005F395C"/>
    <w:rsid w:val="005F408A"/>
    <w:rsid w:val="005F4EF7"/>
    <w:rsid w:val="005F4F15"/>
    <w:rsid w:val="005F53CC"/>
    <w:rsid w:val="005F6D69"/>
    <w:rsid w:val="005F6F07"/>
    <w:rsid w:val="005F70A3"/>
    <w:rsid w:val="005F7324"/>
    <w:rsid w:val="005F76DD"/>
    <w:rsid w:val="005F7708"/>
    <w:rsid w:val="005F7737"/>
    <w:rsid w:val="005F78C9"/>
    <w:rsid w:val="005F7FCA"/>
    <w:rsid w:val="00600564"/>
    <w:rsid w:val="006006A3"/>
    <w:rsid w:val="00600F24"/>
    <w:rsid w:val="00602C50"/>
    <w:rsid w:val="006039C9"/>
    <w:rsid w:val="00603CCB"/>
    <w:rsid w:val="00604EFD"/>
    <w:rsid w:val="00605081"/>
    <w:rsid w:val="006058AD"/>
    <w:rsid w:val="00606677"/>
    <w:rsid w:val="006102C5"/>
    <w:rsid w:val="00610815"/>
    <w:rsid w:val="00611E4C"/>
    <w:rsid w:val="006133D0"/>
    <w:rsid w:val="00613AE9"/>
    <w:rsid w:val="00613C74"/>
    <w:rsid w:val="00613CF0"/>
    <w:rsid w:val="0061404A"/>
    <w:rsid w:val="006149E8"/>
    <w:rsid w:val="006153F5"/>
    <w:rsid w:val="00616260"/>
    <w:rsid w:val="006166FB"/>
    <w:rsid w:val="00617965"/>
    <w:rsid w:val="00617C13"/>
    <w:rsid w:val="00621F55"/>
    <w:rsid w:val="0062251B"/>
    <w:rsid w:val="006238FD"/>
    <w:rsid w:val="00623C10"/>
    <w:rsid w:val="006254F3"/>
    <w:rsid w:val="00625EBF"/>
    <w:rsid w:val="00625ED9"/>
    <w:rsid w:val="00626451"/>
    <w:rsid w:val="00626E24"/>
    <w:rsid w:val="0062731C"/>
    <w:rsid w:val="006273BD"/>
    <w:rsid w:val="00627F19"/>
    <w:rsid w:val="00627FF0"/>
    <w:rsid w:val="00630D0D"/>
    <w:rsid w:val="006314BC"/>
    <w:rsid w:val="00631D2C"/>
    <w:rsid w:val="00631EF6"/>
    <w:rsid w:val="00632AC5"/>
    <w:rsid w:val="00632B37"/>
    <w:rsid w:val="00632DFF"/>
    <w:rsid w:val="00633231"/>
    <w:rsid w:val="00633CE4"/>
    <w:rsid w:val="00634B11"/>
    <w:rsid w:val="0063507E"/>
    <w:rsid w:val="0063591C"/>
    <w:rsid w:val="00635D50"/>
    <w:rsid w:val="00636636"/>
    <w:rsid w:val="0063708A"/>
    <w:rsid w:val="00637394"/>
    <w:rsid w:val="00640EC1"/>
    <w:rsid w:val="006428F9"/>
    <w:rsid w:val="00643083"/>
    <w:rsid w:val="00643A8B"/>
    <w:rsid w:val="0064404E"/>
    <w:rsid w:val="006448CF"/>
    <w:rsid w:val="00644F8C"/>
    <w:rsid w:val="0064703D"/>
    <w:rsid w:val="00647713"/>
    <w:rsid w:val="00647922"/>
    <w:rsid w:val="006501A1"/>
    <w:rsid w:val="006502D1"/>
    <w:rsid w:val="0065191C"/>
    <w:rsid w:val="00652263"/>
    <w:rsid w:val="006524C0"/>
    <w:rsid w:val="006526A2"/>
    <w:rsid w:val="00653BE6"/>
    <w:rsid w:val="00653BFA"/>
    <w:rsid w:val="00653D9D"/>
    <w:rsid w:val="0065427F"/>
    <w:rsid w:val="00654D4A"/>
    <w:rsid w:val="00655522"/>
    <w:rsid w:val="006555E0"/>
    <w:rsid w:val="00656235"/>
    <w:rsid w:val="006567F5"/>
    <w:rsid w:val="00657054"/>
    <w:rsid w:val="00657692"/>
    <w:rsid w:val="00657B8F"/>
    <w:rsid w:val="00657DE3"/>
    <w:rsid w:val="006603ED"/>
    <w:rsid w:val="00660857"/>
    <w:rsid w:val="0066185B"/>
    <w:rsid w:val="00661EC3"/>
    <w:rsid w:val="00663035"/>
    <w:rsid w:val="006668C8"/>
    <w:rsid w:val="00666927"/>
    <w:rsid w:val="00666D73"/>
    <w:rsid w:val="006670B6"/>
    <w:rsid w:val="00667211"/>
    <w:rsid w:val="00667D8B"/>
    <w:rsid w:val="0067071C"/>
    <w:rsid w:val="0067079F"/>
    <w:rsid w:val="00670C25"/>
    <w:rsid w:val="006718B5"/>
    <w:rsid w:val="00672350"/>
    <w:rsid w:val="006732B7"/>
    <w:rsid w:val="00673DF2"/>
    <w:rsid w:val="00673EDD"/>
    <w:rsid w:val="00674E22"/>
    <w:rsid w:val="00674FAF"/>
    <w:rsid w:val="006752BF"/>
    <w:rsid w:val="006757DD"/>
    <w:rsid w:val="0067630F"/>
    <w:rsid w:val="00680301"/>
    <w:rsid w:val="006806BA"/>
    <w:rsid w:val="00680ADC"/>
    <w:rsid w:val="00682351"/>
    <w:rsid w:val="00682633"/>
    <w:rsid w:val="006838F7"/>
    <w:rsid w:val="00683F87"/>
    <w:rsid w:val="00684152"/>
    <w:rsid w:val="00684EC3"/>
    <w:rsid w:val="00685379"/>
    <w:rsid w:val="00685604"/>
    <w:rsid w:val="00687900"/>
    <w:rsid w:val="00687CD6"/>
    <w:rsid w:val="00690733"/>
    <w:rsid w:val="00690A01"/>
    <w:rsid w:val="00690D3B"/>
    <w:rsid w:val="00690FDB"/>
    <w:rsid w:val="006910FC"/>
    <w:rsid w:val="0069124B"/>
    <w:rsid w:val="006912CF"/>
    <w:rsid w:val="0069173C"/>
    <w:rsid w:val="0069178A"/>
    <w:rsid w:val="00691A94"/>
    <w:rsid w:val="00691C8F"/>
    <w:rsid w:val="006936B4"/>
    <w:rsid w:val="00693CE9"/>
    <w:rsid w:val="00694782"/>
    <w:rsid w:val="00694B32"/>
    <w:rsid w:val="00695CF3"/>
    <w:rsid w:val="006969D7"/>
    <w:rsid w:val="0069762E"/>
    <w:rsid w:val="006977FD"/>
    <w:rsid w:val="006A0CBB"/>
    <w:rsid w:val="006A143C"/>
    <w:rsid w:val="006A1B3F"/>
    <w:rsid w:val="006A2FAE"/>
    <w:rsid w:val="006A3E71"/>
    <w:rsid w:val="006A5162"/>
    <w:rsid w:val="006A565C"/>
    <w:rsid w:val="006A5664"/>
    <w:rsid w:val="006A56EB"/>
    <w:rsid w:val="006A5E0F"/>
    <w:rsid w:val="006A6857"/>
    <w:rsid w:val="006A6A74"/>
    <w:rsid w:val="006A71F7"/>
    <w:rsid w:val="006B08E7"/>
    <w:rsid w:val="006B118C"/>
    <w:rsid w:val="006B1200"/>
    <w:rsid w:val="006B15F5"/>
    <w:rsid w:val="006B2459"/>
    <w:rsid w:val="006B26EA"/>
    <w:rsid w:val="006B286C"/>
    <w:rsid w:val="006B2DFF"/>
    <w:rsid w:val="006B3211"/>
    <w:rsid w:val="006B34B4"/>
    <w:rsid w:val="006B35BB"/>
    <w:rsid w:val="006B4215"/>
    <w:rsid w:val="006B5203"/>
    <w:rsid w:val="006B542F"/>
    <w:rsid w:val="006B6632"/>
    <w:rsid w:val="006B6BE6"/>
    <w:rsid w:val="006B7437"/>
    <w:rsid w:val="006C0020"/>
    <w:rsid w:val="006C0074"/>
    <w:rsid w:val="006C11E5"/>
    <w:rsid w:val="006C2441"/>
    <w:rsid w:val="006C24EF"/>
    <w:rsid w:val="006C2AFE"/>
    <w:rsid w:val="006C2B70"/>
    <w:rsid w:val="006C3119"/>
    <w:rsid w:val="006C42B1"/>
    <w:rsid w:val="006C5409"/>
    <w:rsid w:val="006C5FCD"/>
    <w:rsid w:val="006C7618"/>
    <w:rsid w:val="006D032D"/>
    <w:rsid w:val="006D05FF"/>
    <w:rsid w:val="006D07E2"/>
    <w:rsid w:val="006D1EB4"/>
    <w:rsid w:val="006D2EFC"/>
    <w:rsid w:val="006D33FA"/>
    <w:rsid w:val="006D3B1A"/>
    <w:rsid w:val="006D4303"/>
    <w:rsid w:val="006D4836"/>
    <w:rsid w:val="006D5461"/>
    <w:rsid w:val="006D5E2D"/>
    <w:rsid w:val="006D5FC9"/>
    <w:rsid w:val="006D6E33"/>
    <w:rsid w:val="006D77FF"/>
    <w:rsid w:val="006D7A23"/>
    <w:rsid w:val="006D7E0E"/>
    <w:rsid w:val="006E0D4E"/>
    <w:rsid w:val="006E1DEA"/>
    <w:rsid w:val="006E1E52"/>
    <w:rsid w:val="006E2075"/>
    <w:rsid w:val="006E20E6"/>
    <w:rsid w:val="006E226A"/>
    <w:rsid w:val="006E3292"/>
    <w:rsid w:val="006E44AA"/>
    <w:rsid w:val="006E65DE"/>
    <w:rsid w:val="006E6C49"/>
    <w:rsid w:val="006F0B50"/>
    <w:rsid w:val="006F0BFB"/>
    <w:rsid w:val="006F1819"/>
    <w:rsid w:val="006F197F"/>
    <w:rsid w:val="006F1D08"/>
    <w:rsid w:val="006F24F2"/>
    <w:rsid w:val="006F2D7F"/>
    <w:rsid w:val="006F4895"/>
    <w:rsid w:val="006F4B53"/>
    <w:rsid w:val="006F4BED"/>
    <w:rsid w:val="006F52F5"/>
    <w:rsid w:val="006F59BC"/>
    <w:rsid w:val="006F6A35"/>
    <w:rsid w:val="006F765B"/>
    <w:rsid w:val="006F7D10"/>
    <w:rsid w:val="006F7E5E"/>
    <w:rsid w:val="00700BA9"/>
    <w:rsid w:val="00700DC9"/>
    <w:rsid w:val="0070112C"/>
    <w:rsid w:val="007018C9"/>
    <w:rsid w:val="0070199A"/>
    <w:rsid w:val="00701FBE"/>
    <w:rsid w:val="007028A4"/>
    <w:rsid w:val="00702AE4"/>
    <w:rsid w:val="0070309D"/>
    <w:rsid w:val="007030A2"/>
    <w:rsid w:val="00703989"/>
    <w:rsid w:val="00704544"/>
    <w:rsid w:val="007045DA"/>
    <w:rsid w:val="007048CD"/>
    <w:rsid w:val="0070554A"/>
    <w:rsid w:val="007056B8"/>
    <w:rsid w:val="0070698B"/>
    <w:rsid w:val="00706DBD"/>
    <w:rsid w:val="007079E5"/>
    <w:rsid w:val="00707A48"/>
    <w:rsid w:val="00707E0B"/>
    <w:rsid w:val="00711480"/>
    <w:rsid w:val="00711ACF"/>
    <w:rsid w:val="00711B78"/>
    <w:rsid w:val="00711F87"/>
    <w:rsid w:val="00712165"/>
    <w:rsid w:val="0071296C"/>
    <w:rsid w:val="00712C58"/>
    <w:rsid w:val="007138BB"/>
    <w:rsid w:val="00713F72"/>
    <w:rsid w:val="007159DB"/>
    <w:rsid w:val="00715B27"/>
    <w:rsid w:val="0071696A"/>
    <w:rsid w:val="007172A2"/>
    <w:rsid w:val="00721D77"/>
    <w:rsid w:val="00721F43"/>
    <w:rsid w:val="007227C9"/>
    <w:rsid w:val="007227E8"/>
    <w:rsid w:val="0072400E"/>
    <w:rsid w:val="0072404C"/>
    <w:rsid w:val="00724632"/>
    <w:rsid w:val="00724B47"/>
    <w:rsid w:val="00724B67"/>
    <w:rsid w:val="007254B7"/>
    <w:rsid w:val="00725A22"/>
    <w:rsid w:val="007263C9"/>
    <w:rsid w:val="007269CF"/>
    <w:rsid w:val="0072702B"/>
    <w:rsid w:val="007277EF"/>
    <w:rsid w:val="007278D4"/>
    <w:rsid w:val="0072798B"/>
    <w:rsid w:val="007303C2"/>
    <w:rsid w:val="00732C87"/>
    <w:rsid w:val="0073358A"/>
    <w:rsid w:val="00735E77"/>
    <w:rsid w:val="00736B5D"/>
    <w:rsid w:val="007371A5"/>
    <w:rsid w:val="00737C5E"/>
    <w:rsid w:val="00737DAB"/>
    <w:rsid w:val="00737FB7"/>
    <w:rsid w:val="007408DA"/>
    <w:rsid w:val="00740C2A"/>
    <w:rsid w:val="00741693"/>
    <w:rsid w:val="00741E1E"/>
    <w:rsid w:val="0074284C"/>
    <w:rsid w:val="00742C9B"/>
    <w:rsid w:val="0074471D"/>
    <w:rsid w:val="00744B8C"/>
    <w:rsid w:val="00744C2D"/>
    <w:rsid w:val="00744E11"/>
    <w:rsid w:val="00745295"/>
    <w:rsid w:val="0074605D"/>
    <w:rsid w:val="00746188"/>
    <w:rsid w:val="00746306"/>
    <w:rsid w:val="007464D2"/>
    <w:rsid w:val="0074704C"/>
    <w:rsid w:val="007470CC"/>
    <w:rsid w:val="00747455"/>
    <w:rsid w:val="00747E8C"/>
    <w:rsid w:val="00750EEF"/>
    <w:rsid w:val="0075160F"/>
    <w:rsid w:val="00751EA3"/>
    <w:rsid w:val="007523F8"/>
    <w:rsid w:val="007529AC"/>
    <w:rsid w:val="007529F0"/>
    <w:rsid w:val="007534AE"/>
    <w:rsid w:val="0075357E"/>
    <w:rsid w:val="00753695"/>
    <w:rsid w:val="00753953"/>
    <w:rsid w:val="00753ABE"/>
    <w:rsid w:val="007546BB"/>
    <w:rsid w:val="007546CE"/>
    <w:rsid w:val="00754D40"/>
    <w:rsid w:val="00755584"/>
    <w:rsid w:val="00755B72"/>
    <w:rsid w:val="00755CF7"/>
    <w:rsid w:val="00756C45"/>
    <w:rsid w:val="00760DFD"/>
    <w:rsid w:val="00760F74"/>
    <w:rsid w:val="00761011"/>
    <w:rsid w:val="00761850"/>
    <w:rsid w:val="00761DE7"/>
    <w:rsid w:val="0076262C"/>
    <w:rsid w:val="007628CC"/>
    <w:rsid w:val="00762E7F"/>
    <w:rsid w:val="00762EBC"/>
    <w:rsid w:val="0076434A"/>
    <w:rsid w:val="007648B8"/>
    <w:rsid w:val="007656EF"/>
    <w:rsid w:val="00766865"/>
    <w:rsid w:val="00766881"/>
    <w:rsid w:val="007726F9"/>
    <w:rsid w:val="00773B44"/>
    <w:rsid w:val="00774B58"/>
    <w:rsid w:val="00774C34"/>
    <w:rsid w:val="007754C3"/>
    <w:rsid w:val="00775C3E"/>
    <w:rsid w:val="00776113"/>
    <w:rsid w:val="00776CB6"/>
    <w:rsid w:val="00777678"/>
    <w:rsid w:val="0077781E"/>
    <w:rsid w:val="0078080F"/>
    <w:rsid w:val="00781023"/>
    <w:rsid w:val="007820ED"/>
    <w:rsid w:val="00782401"/>
    <w:rsid w:val="00783C0F"/>
    <w:rsid w:val="00783D07"/>
    <w:rsid w:val="00784C8B"/>
    <w:rsid w:val="00786C33"/>
    <w:rsid w:val="007874D1"/>
    <w:rsid w:val="007875D5"/>
    <w:rsid w:val="00787D78"/>
    <w:rsid w:val="00790703"/>
    <w:rsid w:val="00790C5B"/>
    <w:rsid w:val="00790CEE"/>
    <w:rsid w:val="00790DA4"/>
    <w:rsid w:val="00791727"/>
    <w:rsid w:val="00792191"/>
    <w:rsid w:val="00792357"/>
    <w:rsid w:val="0079318C"/>
    <w:rsid w:val="00793523"/>
    <w:rsid w:val="00793DC1"/>
    <w:rsid w:val="00793F8B"/>
    <w:rsid w:val="007944A4"/>
    <w:rsid w:val="00794535"/>
    <w:rsid w:val="007947F9"/>
    <w:rsid w:val="007953C8"/>
    <w:rsid w:val="007957CC"/>
    <w:rsid w:val="00795CE3"/>
    <w:rsid w:val="007963AE"/>
    <w:rsid w:val="007965C2"/>
    <w:rsid w:val="007968FB"/>
    <w:rsid w:val="00796E43"/>
    <w:rsid w:val="00796F44"/>
    <w:rsid w:val="0079700A"/>
    <w:rsid w:val="007974B4"/>
    <w:rsid w:val="00797B7E"/>
    <w:rsid w:val="00797C57"/>
    <w:rsid w:val="007A0E74"/>
    <w:rsid w:val="007A138E"/>
    <w:rsid w:val="007A18D7"/>
    <w:rsid w:val="007A20FD"/>
    <w:rsid w:val="007A2BB3"/>
    <w:rsid w:val="007A2D84"/>
    <w:rsid w:val="007A2F9A"/>
    <w:rsid w:val="007A380F"/>
    <w:rsid w:val="007A4055"/>
    <w:rsid w:val="007A4D4E"/>
    <w:rsid w:val="007A5904"/>
    <w:rsid w:val="007A5C1E"/>
    <w:rsid w:val="007A5CC9"/>
    <w:rsid w:val="007A6868"/>
    <w:rsid w:val="007A6B3B"/>
    <w:rsid w:val="007A6CD4"/>
    <w:rsid w:val="007A7C19"/>
    <w:rsid w:val="007B0218"/>
    <w:rsid w:val="007B1C45"/>
    <w:rsid w:val="007B2444"/>
    <w:rsid w:val="007B2E12"/>
    <w:rsid w:val="007B6021"/>
    <w:rsid w:val="007B6E63"/>
    <w:rsid w:val="007B700A"/>
    <w:rsid w:val="007C1804"/>
    <w:rsid w:val="007C1B4E"/>
    <w:rsid w:val="007C1DC2"/>
    <w:rsid w:val="007C2BA1"/>
    <w:rsid w:val="007C4732"/>
    <w:rsid w:val="007C4A39"/>
    <w:rsid w:val="007C51C5"/>
    <w:rsid w:val="007C588B"/>
    <w:rsid w:val="007C5D21"/>
    <w:rsid w:val="007C742E"/>
    <w:rsid w:val="007D199E"/>
    <w:rsid w:val="007D21A9"/>
    <w:rsid w:val="007D26F8"/>
    <w:rsid w:val="007D2EB2"/>
    <w:rsid w:val="007D357E"/>
    <w:rsid w:val="007D3A06"/>
    <w:rsid w:val="007D3E79"/>
    <w:rsid w:val="007D40DF"/>
    <w:rsid w:val="007D4622"/>
    <w:rsid w:val="007D49E1"/>
    <w:rsid w:val="007D4A9C"/>
    <w:rsid w:val="007D6E03"/>
    <w:rsid w:val="007E01CF"/>
    <w:rsid w:val="007E1810"/>
    <w:rsid w:val="007E1827"/>
    <w:rsid w:val="007E2824"/>
    <w:rsid w:val="007E2ECA"/>
    <w:rsid w:val="007E3782"/>
    <w:rsid w:val="007E38C0"/>
    <w:rsid w:val="007E3BE9"/>
    <w:rsid w:val="007E4135"/>
    <w:rsid w:val="007E5253"/>
    <w:rsid w:val="007E59B0"/>
    <w:rsid w:val="007E6D75"/>
    <w:rsid w:val="007E75CF"/>
    <w:rsid w:val="007F0403"/>
    <w:rsid w:val="007F0552"/>
    <w:rsid w:val="007F129A"/>
    <w:rsid w:val="007F12ED"/>
    <w:rsid w:val="007F169B"/>
    <w:rsid w:val="007F1F2B"/>
    <w:rsid w:val="007F288F"/>
    <w:rsid w:val="007F2BF4"/>
    <w:rsid w:val="007F2CB1"/>
    <w:rsid w:val="007F2F39"/>
    <w:rsid w:val="007F3369"/>
    <w:rsid w:val="007F34EE"/>
    <w:rsid w:val="007F4FDF"/>
    <w:rsid w:val="007F5147"/>
    <w:rsid w:val="007F5258"/>
    <w:rsid w:val="007F5B50"/>
    <w:rsid w:val="007F5C01"/>
    <w:rsid w:val="007F6154"/>
    <w:rsid w:val="008000AF"/>
    <w:rsid w:val="00800FF1"/>
    <w:rsid w:val="0080238D"/>
    <w:rsid w:val="008023F4"/>
    <w:rsid w:val="00803621"/>
    <w:rsid w:val="00803B5E"/>
    <w:rsid w:val="008060C6"/>
    <w:rsid w:val="00806470"/>
    <w:rsid w:val="0080687C"/>
    <w:rsid w:val="008078C2"/>
    <w:rsid w:val="00807B7F"/>
    <w:rsid w:val="00807D92"/>
    <w:rsid w:val="00810293"/>
    <w:rsid w:val="00810AC1"/>
    <w:rsid w:val="00811621"/>
    <w:rsid w:val="0081172C"/>
    <w:rsid w:val="00816302"/>
    <w:rsid w:val="008167F9"/>
    <w:rsid w:val="00816CD9"/>
    <w:rsid w:val="008200CD"/>
    <w:rsid w:val="0082031B"/>
    <w:rsid w:val="00820924"/>
    <w:rsid w:val="00820D16"/>
    <w:rsid w:val="00822832"/>
    <w:rsid w:val="00822A1D"/>
    <w:rsid w:val="008232D5"/>
    <w:rsid w:val="00823D84"/>
    <w:rsid w:val="00824C13"/>
    <w:rsid w:val="00825664"/>
    <w:rsid w:val="00830501"/>
    <w:rsid w:val="00831243"/>
    <w:rsid w:val="0083144A"/>
    <w:rsid w:val="00831919"/>
    <w:rsid w:val="008323FA"/>
    <w:rsid w:val="00832A6E"/>
    <w:rsid w:val="00833396"/>
    <w:rsid w:val="00833578"/>
    <w:rsid w:val="0083383B"/>
    <w:rsid w:val="00833AF0"/>
    <w:rsid w:val="00834D80"/>
    <w:rsid w:val="00834E68"/>
    <w:rsid w:val="00834FB9"/>
    <w:rsid w:val="00835EA0"/>
    <w:rsid w:val="00836875"/>
    <w:rsid w:val="00836C57"/>
    <w:rsid w:val="00836F04"/>
    <w:rsid w:val="00841666"/>
    <w:rsid w:val="00841BBB"/>
    <w:rsid w:val="008432A1"/>
    <w:rsid w:val="00843374"/>
    <w:rsid w:val="0084562F"/>
    <w:rsid w:val="0084666A"/>
    <w:rsid w:val="00847B31"/>
    <w:rsid w:val="00847EF8"/>
    <w:rsid w:val="00851444"/>
    <w:rsid w:val="008519CA"/>
    <w:rsid w:val="00851C55"/>
    <w:rsid w:val="00853602"/>
    <w:rsid w:val="00853CD4"/>
    <w:rsid w:val="00853DA6"/>
    <w:rsid w:val="00853DAA"/>
    <w:rsid w:val="0085453F"/>
    <w:rsid w:val="00854B34"/>
    <w:rsid w:val="0085552A"/>
    <w:rsid w:val="00855C31"/>
    <w:rsid w:val="008569FA"/>
    <w:rsid w:val="0086113B"/>
    <w:rsid w:val="00861A94"/>
    <w:rsid w:val="008629D8"/>
    <w:rsid w:val="00862AF2"/>
    <w:rsid w:val="008630A7"/>
    <w:rsid w:val="00863626"/>
    <w:rsid w:val="0086389D"/>
    <w:rsid w:val="00863F9C"/>
    <w:rsid w:val="008644A1"/>
    <w:rsid w:val="008645BF"/>
    <w:rsid w:val="00864B68"/>
    <w:rsid w:val="00864DBE"/>
    <w:rsid w:val="00865F20"/>
    <w:rsid w:val="008666D8"/>
    <w:rsid w:val="00866B59"/>
    <w:rsid w:val="008673CC"/>
    <w:rsid w:val="008676E7"/>
    <w:rsid w:val="0086786B"/>
    <w:rsid w:val="0086798E"/>
    <w:rsid w:val="0086799C"/>
    <w:rsid w:val="0087095D"/>
    <w:rsid w:val="00870BD4"/>
    <w:rsid w:val="00871D0A"/>
    <w:rsid w:val="0087272F"/>
    <w:rsid w:val="00872E08"/>
    <w:rsid w:val="008732D7"/>
    <w:rsid w:val="0087356D"/>
    <w:rsid w:val="00874850"/>
    <w:rsid w:val="00874F52"/>
    <w:rsid w:val="008753D4"/>
    <w:rsid w:val="008755FD"/>
    <w:rsid w:val="00877A2A"/>
    <w:rsid w:val="00877A84"/>
    <w:rsid w:val="00880B8E"/>
    <w:rsid w:val="00880C39"/>
    <w:rsid w:val="00881660"/>
    <w:rsid w:val="00881D8A"/>
    <w:rsid w:val="00882245"/>
    <w:rsid w:val="008843CB"/>
    <w:rsid w:val="008863A6"/>
    <w:rsid w:val="008864F5"/>
    <w:rsid w:val="00887369"/>
    <w:rsid w:val="00887D90"/>
    <w:rsid w:val="008903A3"/>
    <w:rsid w:val="00893F6C"/>
    <w:rsid w:val="0089453D"/>
    <w:rsid w:val="00894668"/>
    <w:rsid w:val="00894A13"/>
    <w:rsid w:val="008952F2"/>
    <w:rsid w:val="00895D62"/>
    <w:rsid w:val="00896137"/>
    <w:rsid w:val="00896B2E"/>
    <w:rsid w:val="00896D42"/>
    <w:rsid w:val="00897390"/>
    <w:rsid w:val="00897FEF"/>
    <w:rsid w:val="008A0ED1"/>
    <w:rsid w:val="008A2379"/>
    <w:rsid w:val="008A311B"/>
    <w:rsid w:val="008A3146"/>
    <w:rsid w:val="008A3F8D"/>
    <w:rsid w:val="008A47E2"/>
    <w:rsid w:val="008A4CF8"/>
    <w:rsid w:val="008A5024"/>
    <w:rsid w:val="008A5894"/>
    <w:rsid w:val="008A65CA"/>
    <w:rsid w:val="008A7115"/>
    <w:rsid w:val="008A7422"/>
    <w:rsid w:val="008B0254"/>
    <w:rsid w:val="008B1049"/>
    <w:rsid w:val="008B19F1"/>
    <w:rsid w:val="008B2A37"/>
    <w:rsid w:val="008B2E10"/>
    <w:rsid w:val="008B347B"/>
    <w:rsid w:val="008B401C"/>
    <w:rsid w:val="008B403E"/>
    <w:rsid w:val="008B40B7"/>
    <w:rsid w:val="008B45B7"/>
    <w:rsid w:val="008B4912"/>
    <w:rsid w:val="008B7526"/>
    <w:rsid w:val="008B778E"/>
    <w:rsid w:val="008C0D9A"/>
    <w:rsid w:val="008C21A0"/>
    <w:rsid w:val="008C231C"/>
    <w:rsid w:val="008C24F9"/>
    <w:rsid w:val="008C260D"/>
    <w:rsid w:val="008C2B03"/>
    <w:rsid w:val="008C3132"/>
    <w:rsid w:val="008C3B6B"/>
    <w:rsid w:val="008C44A8"/>
    <w:rsid w:val="008C71F0"/>
    <w:rsid w:val="008C7C91"/>
    <w:rsid w:val="008D06D9"/>
    <w:rsid w:val="008D0707"/>
    <w:rsid w:val="008D0F67"/>
    <w:rsid w:val="008D107F"/>
    <w:rsid w:val="008D11AA"/>
    <w:rsid w:val="008D13A9"/>
    <w:rsid w:val="008D148E"/>
    <w:rsid w:val="008D153B"/>
    <w:rsid w:val="008D1571"/>
    <w:rsid w:val="008D2313"/>
    <w:rsid w:val="008D2B26"/>
    <w:rsid w:val="008D2CCE"/>
    <w:rsid w:val="008D329D"/>
    <w:rsid w:val="008D4436"/>
    <w:rsid w:val="008D6D77"/>
    <w:rsid w:val="008D774B"/>
    <w:rsid w:val="008D7B67"/>
    <w:rsid w:val="008D7B6A"/>
    <w:rsid w:val="008E0CB5"/>
    <w:rsid w:val="008E10E7"/>
    <w:rsid w:val="008E10F0"/>
    <w:rsid w:val="008E13FE"/>
    <w:rsid w:val="008E1A15"/>
    <w:rsid w:val="008E2263"/>
    <w:rsid w:val="008E238B"/>
    <w:rsid w:val="008E267C"/>
    <w:rsid w:val="008E2875"/>
    <w:rsid w:val="008E2FE9"/>
    <w:rsid w:val="008E42FC"/>
    <w:rsid w:val="008E4D63"/>
    <w:rsid w:val="008E58FD"/>
    <w:rsid w:val="008E5A28"/>
    <w:rsid w:val="008E5C07"/>
    <w:rsid w:val="008E605C"/>
    <w:rsid w:val="008E6158"/>
    <w:rsid w:val="008E635F"/>
    <w:rsid w:val="008E65DE"/>
    <w:rsid w:val="008E66E0"/>
    <w:rsid w:val="008E7798"/>
    <w:rsid w:val="008F0092"/>
    <w:rsid w:val="008F012B"/>
    <w:rsid w:val="008F099C"/>
    <w:rsid w:val="008F0D19"/>
    <w:rsid w:val="008F130B"/>
    <w:rsid w:val="008F16CC"/>
    <w:rsid w:val="008F1F76"/>
    <w:rsid w:val="008F296A"/>
    <w:rsid w:val="008F37E9"/>
    <w:rsid w:val="008F3BC6"/>
    <w:rsid w:val="008F41E7"/>
    <w:rsid w:val="008F4800"/>
    <w:rsid w:val="008F4A9C"/>
    <w:rsid w:val="008F56AE"/>
    <w:rsid w:val="008F6315"/>
    <w:rsid w:val="008F6438"/>
    <w:rsid w:val="008F64F3"/>
    <w:rsid w:val="008F65F7"/>
    <w:rsid w:val="008F6EE7"/>
    <w:rsid w:val="008F732A"/>
    <w:rsid w:val="008F778E"/>
    <w:rsid w:val="008F7BCB"/>
    <w:rsid w:val="009002C5"/>
    <w:rsid w:val="00902198"/>
    <w:rsid w:val="0090296D"/>
    <w:rsid w:val="00902B84"/>
    <w:rsid w:val="00903790"/>
    <w:rsid w:val="00903DDA"/>
    <w:rsid w:val="00903F2B"/>
    <w:rsid w:val="00904147"/>
    <w:rsid w:val="00905168"/>
    <w:rsid w:val="00905AFF"/>
    <w:rsid w:val="00905C12"/>
    <w:rsid w:val="00906181"/>
    <w:rsid w:val="0090636E"/>
    <w:rsid w:val="00906423"/>
    <w:rsid w:val="009072D8"/>
    <w:rsid w:val="0090789A"/>
    <w:rsid w:val="00910048"/>
    <w:rsid w:val="00910238"/>
    <w:rsid w:val="009104DA"/>
    <w:rsid w:val="009105DE"/>
    <w:rsid w:val="00910CEA"/>
    <w:rsid w:val="00910D4D"/>
    <w:rsid w:val="00911992"/>
    <w:rsid w:val="00911A64"/>
    <w:rsid w:val="00912F82"/>
    <w:rsid w:val="00913A1E"/>
    <w:rsid w:val="00914407"/>
    <w:rsid w:val="009155C8"/>
    <w:rsid w:val="00915ABA"/>
    <w:rsid w:val="00916310"/>
    <w:rsid w:val="00917534"/>
    <w:rsid w:val="0092008D"/>
    <w:rsid w:val="009201DD"/>
    <w:rsid w:val="00921C39"/>
    <w:rsid w:val="0092242B"/>
    <w:rsid w:val="00922598"/>
    <w:rsid w:val="009228AD"/>
    <w:rsid w:val="00923433"/>
    <w:rsid w:val="0092353E"/>
    <w:rsid w:val="00924905"/>
    <w:rsid w:val="00927793"/>
    <w:rsid w:val="00927E57"/>
    <w:rsid w:val="009304F8"/>
    <w:rsid w:val="00931618"/>
    <w:rsid w:val="009323C7"/>
    <w:rsid w:val="009354C9"/>
    <w:rsid w:val="00935AEC"/>
    <w:rsid w:val="00935EB9"/>
    <w:rsid w:val="00937B51"/>
    <w:rsid w:val="00937CCE"/>
    <w:rsid w:val="00937D19"/>
    <w:rsid w:val="00940352"/>
    <w:rsid w:val="00940C43"/>
    <w:rsid w:val="0094139C"/>
    <w:rsid w:val="00941757"/>
    <w:rsid w:val="00942203"/>
    <w:rsid w:val="009422C9"/>
    <w:rsid w:val="00942469"/>
    <w:rsid w:val="00942651"/>
    <w:rsid w:val="009428E5"/>
    <w:rsid w:val="009438BB"/>
    <w:rsid w:val="00943F63"/>
    <w:rsid w:val="00943F66"/>
    <w:rsid w:val="0094553F"/>
    <w:rsid w:val="0094561C"/>
    <w:rsid w:val="00946803"/>
    <w:rsid w:val="00946897"/>
    <w:rsid w:val="009475FE"/>
    <w:rsid w:val="00950728"/>
    <w:rsid w:val="00950843"/>
    <w:rsid w:val="00950E84"/>
    <w:rsid w:val="00951538"/>
    <w:rsid w:val="0095192F"/>
    <w:rsid w:val="0095235D"/>
    <w:rsid w:val="00952473"/>
    <w:rsid w:val="0095453A"/>
    <w:rsid w:val="00956AE8"/>
    <w:rsid w:val="00956B7D"/>
    <w:rsid w:val="00956CE7"/>
    <w:rsid w:val="00960B56"/>
    <w:rsid w:val="009614BE"/>
    <w:rsid w:val="00961E14"/>
    <w:rsid w:val="009635D7"/>
    <w:rsid w:val="0096382B"/>
    <w:rsid w:val="0096395F"/>
    <w:rsid w:val="00964F72"/>
    <w:rsid w:val="009667AC"/>
    <w:rsid w:val="00966902"/>
    <w:rsid w:val="00966FB8"/>
    <w:rsid w:val="00967B92"/>
    <w:rsid w:val="00967DDD"/>
    <w:rsid w:val="00967FE0"/>
    <w:rsid w:val="0097071D"/>
    <w:rsid w:val="0097084F"/>
    <w:rsid w:val="00970AB8"/>
    <w:rsid w:val="00970C3F"/>
    <w:rsid w:val="00971129"/>
    <w:rsid w:val="0097316E"/>
    <w:rsid w:val="00973788"/>
    <w:rsid w:val="00973CA5"/>
    <w:rsid w:val="00974192"/>
    <w:rsid w:val="009746A3"/>
    <w:rsid w:val="009746AB"/>
    <w:rsid w:val="00974C6A"/>
    <w:rsid w:val="00974D1C"/>
    <w:rsid w:val="00975CFE"/>
    <w:rsid w:val="00975DDC"/>
    <w:rsid w:val="009769BD"/>
    <w:rsid w:val="00976F90"/>
    <w:rsid w:val="00977005"/>
    <w:rsid w:val="0098084A"/>
    <w:rsid w:val="00980860"/>
    <w:rsid w:val="009809D3"/>
    <w:rsid w:val="00980B7D"/>
    <w:rsid w:val="0098145B"/>
    <w:rsid w:val="00982857"/>
    <w:rsid w:val="0098420D"/>
    <w:rsid w:val="00984321"/>
    <w:rsid w:val="009843FA"/>
    <w:rsid w:val="00984463"/>
    <w:rsid w:val="00984D48"/>
    <w:rsid w:val="00984FDC"/>
    <w:rsid w:val="00985538"/>
    <w:rsid w:val="009861DD"/>
    <w:rsid w:val="0098748C"/>
    <w:rsid w:val="00987913"/>
    <w:rsid w:val="00987C9A"/>
    <w:rsid w:val="00987F44"/>
    <w:rsid w:val="00987FCC"/>
    <w:rsid w:val="00990820"/>
    <w:rsid w:val="0099099C"/>
    <w:rsid w:val="00991390"/>
    <w:rsid w:val="0099149A"/>
    <w:rsid w:val="0099164F"/>
    <w:rsid w:val="00992066"/>
    <w:rsid w:val="0099209A"/>
    <w:rsid w:val="009924D3"/>
    <w:rsid w:val="009929AB"/>
    <w:rsid w:val="00992EED"/>
    <w:rsid w:val="0099332E"/>
    <w:rsid w:val="0099333E"/>
    <w:rsid w:val="00993E89"/>
    <w:rsid w:val="009953EB"/>
    <w:rsid w:val="009954FA"/>
    <w:rsid w:val="00996E47"/>
    <w:rsid w:val="0099702D"/>
    <w:rsid w:val="009971CD"/>
    <w:rsid w:val="009A022E"/>
    <w:rsid w:val="009A0A0D"/>
    <w:rsid w:val="009A1718"/>
    <w:rsid w:val="009A1815"/>
    <w:rsid w:val="009A1F08"/>
    <w:rsid w:val="009A212E"/>
    <w:rsid w:val="009A3179"/>
    <w:rsid w:val="009A3DA4"/>
    <w:rsid w:val="009A4099"/>
    <w:rsid w:val="009A43F7"/>
    <w:rsid w:val="009A4A68"/>
    <w:rsid w:val="009A733C"/>
    <w:rsid w:val="009A7981"/>
    <w:rsid w:val="009A7A57"/>
    <w:rsid w:val="009B002C"/>
    <w:rsid w:val="009B0554"/>
    <w:rsid w:val="009B0663"/>
    <w:rsid w:val="009B07AF"/>
    <w:rsid w:val="009B08B8"/>
    <w:rsid w:val="009B1AFB"/>
    <w:rsid w:val="009B229D"/>
    <w:rsid w:val="009B2A70"/>
    <w:rsid w:val="009B4A9C"/>
    <w:rsid w:val="009B4DA9"/>
    <w:rsid w:val="009B51C3"/>
    <w:rsid w:val="009B54E6"/>
    <w:rsid w:val="009B5CC2"/>
    <w:rsid w:val="009B5CD0"/>
    <w:rsid w:val="009B7021"/>
    <w:rsid w:val="009B70AF"/>
    <w:rsid w:val="009B71C4"/>
    <w:rsid w:val="009B7771"/>
    <w:rsid w:val="009C0E45"/>
    <w:rsid w:val="009C1D01"/>
    <w:rsid w:val="009C2705"/>
    <w:rsid w:val="009C323F"/>
    <w:rsid w:val="009C452A"/>
    <w:rsid w:val="009C49D1"/>
    <w:rsid w:val="009C4C87"/>
    <w:rsid w:val="009C4CB2"/>
    <w:rsid w:val="009C4F5B"/>
    <w:rsid w:val="009C4FCF"/>
    <w:rsid w:val="009C5142"/>
    <w:rsid w:val="009C6D20"/>
    <w:rsid w:val="009C73DF"/>
    <w:rsid w:val="009C73E1"/>
    <w:rsid w:val="009C7476"/>
    <w:rsid w:val="009D0C60"/>
    <w:rsid w:val="009D195D"/>
    <w:rsid w:val="009D1B7D"/>
    <w:rsid w:val="009D26AC"/>
    <w:rsid w:val="009D2BBE"/>
    <w:rsid w:val="009D3257"/>
    <w:rsid w:val="009D32C2"/>
    <w:rsid w:val="009D45B6"/>
    <w:rsid w:val="009D5C15"/>
    <w:rsid w:val="009D5C55"/>
    <w:rsid w:val="009D714B"/>
    <w:rsid w:val="009D74AB"/>
    <w:rsid w:val="009D77E4"/>
    <w:rsid w:val="009E1AC5"/>
    <w:rsid w:val="009E2362"/>
    <w:rsid w:val="009E2584"/>
    <w:rsid w:val="009E49C7"/>
    <w:rsid w:val="009E4A4D"/>
    <w:rsid w:val="009E4CEE"/>
    <w:rsid w:val="009E506E"/>
    <w:rsid w:val="009E5305"/>
    <w:rsid w:val="009E591A"/>
    <w:rsid w:val="009E5F43"/>
    <w:rsid w:val="009E6A8F"/>
    <w:rsid w:val="009E6BD0"/>
    <w:rsid w:val="009E7732"/>
    <w:rsid w:val="009E7D7F"/>
    <w:rsid w:val="009F2618"/>
    <w:rsid w:val="009F2E52"/>
    <w:rsid w:val="009F3A4C"/>
    <w:rsid w:val="009F53B0"/>
    <w:rsid w:val="009F5ADF"/>
    <w:rsid w:val="009F764E"/>
    <w:rsid w:val="00A00003"/>
    <w:rsid w:val="00A00A2B"/>
    <w:rsid w:val="00A00F7E"/>
    <w:rsid w:val="00A01F68"/>
    <w:rsid w:val="00A020EE"/>
    <w:rsid w:val="00A031F7"/>
    <w:rsid w:val="00A0324C"/>
    <w:rsid w:val="00A03541"/>
    <w:rsid w:val="00A03B87"/>
    <w:rsid w:val="00A03E85"/>
    <w:rsid w:val="00A04C05"/>
    <w:rsid w:val="00A05B69"/>
    <w:rsid w:val="00A05CBA"/>
    <w:rsid w:val="00A066D7"/>
    <w:rsid w:val="00A07A7E"/>
    <w:rsid w:val="00A07B70"/>
    <w:rsid w:val="00A07D16"/>
    <w:rsid w:val="00A1011F"/>
    <w:rsid w:val="00A115B5"/>
    <w:rsid w:val="00A127EE"/>
    <w:rsid w:val="00A133A7"/>
    <w:rsid w:val="00A13725"/>
    <w:rsid w:val="00A13C73"/>
    <w:rsid w:val="00A1405F"/>
    <w:rsid w:val="00A142DB"/>
    <w:rsid w:val="00A142F1"/>
    <w:rsid w:val="00A14563"/>
    <w:rsid w:val="00A14B94"/>
    <w:rsid w:val="00A15529"/>
    <w:rsid w:val="00A1560F"/>
    <w:rsid w:val="00A15E7F"/>
    <w:rsid w:val="00A15F14"/>
    <w:rsid w:val="00A16334"/>
    <w:rsid w:val="00A1705B"/>
    <w:rsid w:val="00A20EB3"/>
    <w:rsid w:val="00A220FB"/>
    <w:rsid w:val="00A22436"/>
    <w:rsid w:val="00A224FF"/>
    <w:rsid w:val="00A22CC9"/>
    <w:rsid w:val="00A23074"/>
    <w:rsid w:val="00A2376E"/>
    <w:rsid w:val="00A24100"/>
    <w:rsid w:val="00A25961"/>
    <w:rsid w:val="00A26D46"/>
    <w:rsid w:val="00A27B13"/>
    <w:rsid w:val="00A31E3F"/>
    <w:rsid w:val="00A3291F"/>
    <w:rsid w:val="00A32B1B"/>
    <w:rsid w:val="00A32D60"/>
    <w:rsid w:val="00A339ED"/>
    <w:rsid w:val="00A33DBD"/>
    <w:rsid w:val="00A342E0"/>
    <w:rsid w:val="00A3522C"/>
    <w:rsid w:val="00A354C6"/>
    <w:rsid w:val="00A35CF1"/>
    <w:rsid w:val="00A36017"/>
    <w:rsid w:val="00A373D7"/>
    <w:rsid w:val="00A37CD6"/>
    <w:rsid w:val="00A40A2C"/>
    <w:rsid w:val="00A40C71"/>
    <w:rsid w:val="00A410CC"/>
    <w:rsid w:val="00A41638"/>
    <w:rsid w:val="00A4163F"/>
    <w:rsid w:val="00A421FA"/>
    <w:rsid w:val="00A42577"/>
    <w:rsid w:val="00A4469A"/>
    <w:rsid w:val="00A44768"/>
    <w:rsid w:val="00A44B6D"/>
    <w:rsid w:val="00A469DD"/>
    <w:rsid w:val="00A47673"/>
    <w:rsid w:val="00A508B2"/>
    <w:rsid w:val="00A51304"/>
    <w:rsid w:val="00A514F8"/>
    <w:rsid w:val="00A5333E"/>
    <w:rsid w:val="00A53B57"/>
    <w:rsid w:val="00A5436B"/>
    <w:rsid w:val="00A54CC3"/>
    <w:rsid w:val="00A55B63"/>
    <w:rsid w:val="00A55C8C"/>
    <w:rsid w:val="00A56DD2"/>
    <w:rsid w:val="00A607AF"/>
    <w:rsid w:val="00A61BCF"/>
    <w:rsid w:val="00A61BE1"/>
    <w:rsid w:val="00A61E51"/>
    <w:rsid w:val="00A62249"/>
    <w:rsid w:val="00A6268F"/>
    <w:rsid w:val="00A634B0"/>
    <w:rsid w:val="00A64101"/>
    <w:rsid w:val="00A644AD"/>
    <w:rsid w:val="00A648C0"/>
    <w:rsid w:val="00A65F9E"/>
    <w:rsid w:val="00A66D52"/>
    <w:rsid w:val="00A70648"/>
    <w:rsid w:val="00A708BC"/>
    <w:rsid w:val="00A71485"/>
    <w:rsid w:val="00A72A4C"/>
    <w:rsid w:val="00A74DFA"/>
    <w:rsid w:val="00A769D5"/>
    <w:rsid w:val="00A77067"/>
    <w:rsid w:val="00A81919"/>
    <w:rsid w:val="00A81AA3"/>
    <w:rsid w:val="00A81E7D"/>
    <w:rsid w:val="00A8234F"/>
    <w:rsid w:val="00A82BF7"/>
    <w:rsid w:val="00A8402B"/>
    <w:rsid w:val="00A84BAB"/>
    <w:rsid w:val="00A85927"/>
    <w:rsid w:val="00A85B19"/>
    <w:rsid w:val="00A86CD5"/>
    <w:rsid w:val="00A900DF"/>
    <w:rsid w:val="00A9043E"/>
    <w:rsid w:val="00A9147D"/>
    <w:rsid w:val="00A9228E"/>
    <w:rsid w:val="00A927F4"/>
    <w:rsid w:val="00A93B1D"/>
    <w:rsid w:val="00A945E6"/>
    <w:rsid w:val="00A94637"/>
    <w:rsid w:val="00A94A13"/>
    <w:rsid w:val="00A95664"/>
    <w:rsid w:val="00A96DC6"/>
    <w:rsid w:val="00A96EDD"/>
    <w:rsid w:val="00A97485"/>
    <w:rsid w:val="00A97C65"/>
    <w:rsid w:val="00AA16C8"/>
    <w:rsid w:val="00AA2485"/>
    <w:rsid w:val="00AA27D4"/>
    <w:rsid w:val="00AA33BE"/>
    <w:rsid w:val="00AA3904"/>
    <w:rsid w:val="00AA3B65"/>
    <w:rsid w:val="00AA4245"/>
    <w:rsid w:val="00AA4F87"/>
    <w:rsid w:val="00AA5111"/>
    <w:rsid w:val="00AA533F"/>
    <w:rsid w:val="00AA56CB"/>
    <w:rsid w:val="00AA599F"/>
    <w:rsid w:val="00AA6D3B"/>
    <w:rsid w:val="00AA7AA8"/>
    <w:rsid w:val="00AB0B96"/>
    <w:rsid w:val="00AB0C7E"/>
    <w:rsid w:val="00AB3A85"/>
    <w:rsid w:val="00AB3B8C"/>
    <w:rsid w:val="00AB50D7"/>
    <w:rsid w:val="00AB5445"/>
    <w:rsid w:val="00AB5911"/>
    <w:rsid w:val="00AB6574"/>
    <w:rsid w:val="00AB6674"/>
    <w:rsid w:val="00AB68D1"/>
    <w:rsid w:val="00AB692E"/>
    <w:rsid w:val="00AC061D"/>
    <w:rsid w:val="00AC0841"/>
    <w:rsid w:val="00AC0D07"/>
    <w:rsid w:val="00AC1A29"/>
    <w:rsid w:val="00AC1CD9"/>
    <w:rsid w:val="00AC2694"/>
    <w:rsid w:val="00AC3244"/>
    <w:rsid w:val="00AC32A6"/>
    <w:rsid w:val="00AC3ABE"/>
    <w:rsid w:val="00AC3B04"/>
    <w:rsid w:val="00AC4C40"/>
    <w:rsid w:val="00AC5587"/>
    <w:rsid w:val="00AC573F"/>
    <w:rsid w:val="00AC60A8"/>
    <w:rsid w:val="00AC663E"/>
    <w:rsid w:val="00AC692C"/>
    <w:rsid w:val="00AC6D13"/>
    <w:rsid w:val="00AC71F4"/>
    <w:rsid w:val="00AC7226"/>
    <w:rsid w:val="00AC7720"/>
    <w:rsid w:val="00AD04F1"/>
    <w:rsid w:val="00AD061F"/>
    <w:rsid w:val="00AD099D"/>
    <w:rsid w:val="00AD13F0"/>
    <w:rsid w:val="00AD2168"/>
    <w:rsid w:val="00AD264F"/>
    <w:rsid w:val="00AD2F66"/>
    <w:rsid w:val="00AD4738"/>
    <w:rsid w:val="00AD54C1"/>
    <w:rsid w:val="00AD63A0"/>
    <w:rsid w:val="00AE25D5"/>
    <w:rsid w:val="00AE2AA8"/>
    <w:rsid w:val="00AE33A6"/>
    <w:rsid w:val="00AE4639"/>
    <w:rsid w:val="00AE50C5"/>
    <w:rsid w:val="00AE6423"/>
    <w:rsid w:val="00AE6813"/>
    <w:rsid w:val="00AE6D48"/>
    <w:rsid w:val="00AE7CE5"/>
    <w:rsid w:val="00AF059E"/>
    <w:rsid w:val="00AF06E8"/>
    <w:rsid w:val="00AF119E"/>
    <w:rsid w:val="00AF1664"/>
    <w:rsid w:val="00AF22F9"/>
    <w:rsid w:val="00AF330E"/>
    <w:rsid w:val="00AF532F"/>
    <w:rsid w:val="00AF5B0B"/>
    <w:rsid w:val="00AF5C99"/>
    <w:rsid w:val="00B00062"/>
    <w:rsid w:val="00B008F1"/>
    <w:rsid w:val="00B00B64"/>
    <w:rsid w:val="00B011D5"/>
    <w:rsid w:val="00B03A29"/>
    <w:rsid w:val="00B03DC4"/>
    <w:rsid w:val="00B03E94"/>
    <w:rsid w:val="00B04658"/>
    <w:rsid w:val="00B10D24"/>
    <w:rsid w:val="00B10EB6"/>
    <w:rsid w:val="00B1159A"/>
    <w:rsid w:val="00B11657"/>
    <w:rsid w:val="00B118A7"/>
    <w:rsid w:val="00B121B1"/>
    <w:rsid w:val="00B125C6"/>
    <w:rsid w:val="00B12C95"/>
    <w:rsid w:val="00B1304E"/>
    <w:rsid w:val="00B1405E"/>
    <w:rsid w:val="00B146DF"/>
    <w:rsid w:val="00B14A35"/>
    <w:rsid w:val="00B15051"/>
    <w:rsid w:val="00B15E0F"/>
    <w:rsid w:val="00B1657E"/>
    <w:rsid w:val="00B167A4"/>
    <w:rsid w:val="00B2148E"/>
    <w:rsid w:val="00B2173F"/>
    <w:rsid w:val="00B21BDF"/>
    <w:rsid w:val="00B22203"/>
    <w:rsid w:val="00B22E5A"/>
    <w:rsid w:val="00B252C7"/>
    <w:rsid w:val="00B26045"/>
    <w:rsid w:val="00B30DAA"/>
    <w:rsid w:val="00B31539"/>
    <w:rsid w:val="00B31EC2"/>
    <w:rsid w:val="00B31F3A"/>
    <w:rsid w:val="00B32862"/>
    <w:rsid w:val="00B33246"/>
    <w:rsid w:val="00B33402"/>
    <w:rsid w:val="00B33CC3"/>
    <w:rsid w:val="00B3432B"/>
    <w:rsid w:val="00B35AC1"/>
    <w:rsid w:val="00B36667"/>
    <w:rsid w:val="00B3676A"/>
    <w:rsid w:val="00B36BCD"/>
    <w:rsid w:val="00B3723D"/>
    <w:rsid w:val="00B37A0C"/>
    <w:rsid w:val="00B40E2E"/>
    <w:rsid w:val="00B417A0"/>
    <w:rsid w:val="00B41824"/>
    <w:rsid w:val="00B42677"/>
    <w:rsid w:val="00B438A9"/>
    <w:rsid w:val="00B43B64"/>
    <w:rsid w:val="00B43D96"/>
    <w:rsid w:val="00B43DEF"/>
    <w:rsid w:val="00B44ABC"/>
    <w:rsid w:val="00B45988"/>
    <w:rsid w:val="00B46579"/>
    <w:rsid w:val="00B4751B"/>
    <w:rsid w:val="00B477DE"/>
    <w:rsid w:val="00B47F84"/>
    <w:rsid w:val="00B50904"/>
    <w:rsid w:val="00B51B25"/>
    <w:rsid w:val="00B5217A"/>
    <w:rsid w:val="00B52DDE"/>
    <w:rsid w:val="00B5318C"/>
    <w:rsid w:val="00B53D9D"/>
    <w:rsid w:val="00B540F1"/>
    <w:rsid w:val="00B54DDD"/>
    <w:rsid w:val="00B553D0"/>
    <w:rsid w:val="00B55417"/>
    <w:rsid w:val="00B555AE"/>
    <w:rsid w:val="00B55E87"/>
    <w:rsid w:val="00B564FA"/>
    <w:rsid w:val="00B5730A"/>
    <w:rsid w:val="00B57DCE"/>
    <w:rsid w:val="00B57FAE"/>
    <w:rsid w:val="00B60F86"/>
    <w:rsid w:val="00B62685"/>
    <w:rsid w:val="00B6357C"/>
    <w:rsid w:val="00B63FF0"/>
    <w:rsid w:val="00B653B8"/>
    <w:rsid w:val="00B65D29"/>
    <w:rsid w:val="00B660EE"/>
    <w:rsid w:val="00B66819"/>
    <w:rsid w:val="00B66B68"/>
    <w:rsid w:val="00B6769F"/>
    <w:rsid w:val="00B6786A"/>
    <w:rsid w:val="00B67D2D"/>
    <w:rsid w:val="00B702AA"/>
    <w:rsid w:val="00B70473"/>
    <w:rsid w:val="00B7126A"/>
    <w:rsid w:val="00B71290"/>
    <w:rsid w:val="00B72A1B"/>
    <w:rsid w:val="00B72FD7"/>
    <w:rsid w:val="00B73375"/>
    <w:rsid w:val="00B73DE7"/>
    <w:rsid w:val="00B74913"/>
    <w:rsid w:val="00B75ED0"/>
    <w:rsid w:val="00B76206"/>
    <w:rsid w:val="00B7690D"/>
    <w:rsid w:val="00B76C5E"/>
    <w:rsid w:val="00B771CE"/>
    <w:rsid w:val="00B77D87"/>
    <w:rsid w:val="00B81A4F"/>
    <w:rsid w:val="00B82827"/>
    <w:rsid w:val="00B843D2"/>
    <w:rsid w:val="00B84B74"/>
    <w:rsid w:val="00B85D83"/>
    <w:rsid w:val="00B85F76"/>
    <w:rsid w:val="00B907A7"/>
    <w:rsid w:val="00B90CA4"/>
    <w:rsid w:val="00B92398"/>
    <w:rsid w:val="00B92483"/>
    <w:rsid w:val="00B93F44"/>
    <w:rsid w:val="00B94577"/>
    <w:rsid w:val="00B95869"/>
    <w:rsid w:val="00B9658C"/>
    <w:rsid w:val="00B96E8F"/>
    <w:rsid w:val="00B97089"/>
    <w:rsid w:val="00B97A02"/>
    <w:rsid w:val="00BA00FD"/>
    <w:rsid w:val="00BA0104"/>
    <w:rsid w:val="00BA0174"/>
    <w:rsid w:val="00BA0B5B"/>
    <w:rsid w:val="00BA14EF"/>
    <w:rsid w:val="00BA2649"/>
    <w:rsid w:val="00BA460C"/>
    <w:rsid w:val="00BA6ED8"/>
    <w:rsid w:val="00BA6FCF"/>
    <w:rsid w:val="00BA77E7"/>
    <w:rsid w:val="00BA7E1F"/>
    <w:rsid w:val="00BB0D9F"/>
    <w:rsid w:val="00BB0E28"/>
    <w:rsid w:val="00BB17C6"/>
    <w:rsid w:val="00BB1FC5"/>
    <w:rsid w:val="00BB2272"/>
    <w:rsid w:val="00BB3FFC"/>
    <w:rsid w:val="00BB4092"/>
    <w:rsid w:val="00BB5A85"/>
    <w:rsid w:val="00BB5BE0"/>
    <w:rsid w:val="00BB5C4C"/>
    <w:rsid w:val="00BB5D88"/>
    <w:rsid w:val="00BB664E"/>
    <w:rsid w:val="00BB6B6A"/>
    <w:rsid w:val="00BB6C55"/>
    <w:rsid w:val="00BB7AA3"/>
    <w:rsid w:val="00BB7AFD"/>
    <w:rsid w:val="00BB7B0C"/>
    <w:rsid w:val="00BB7E98"/>
    <w:rsid w:val="00BC0A8D"/>
    <w:rsid w:val="00BC0EB1"/>
    <w:rsid w:val="00BC170A"/>
    <w:rsid w:val="00BC26FD"/>
    <w:rsid w:val="00BC28A5"/>
    <w:rsid w:val="00BC2E95"/>
    <w:rsid w:val="00BC33C4"/>
    <w:rsid w:val="00BC367A"/>
    <w:rsid w:val="00BC449A"/>
    <w:rsid w:val="00BC4D3B"/>
    <w:rsid w:val="00BC53B5"/>
    <w:rsid w:val="00BC598D"/>
    <w:rsid w:val="00BC6245"/>
    <w:rsid w:val="00BC6ABC"/>
    <w:rsid w:val="00BC6C90"/>
    <w:rsid w:val="00BD0507"/>
    <w:rsid w:val="00BD1351"/>
    <w:rsid w:val="00BD17F6"/>
    <w:rsid w:val="00BD2054"/>
    <w:rsid w:val="00BD206D"/>
    <w:rsid w:val="00BD2192"/>
    <w:rsid w:val="00BD382E"/>
    <w:rsid w:val="00BD4387"/>
    <w:rsid w:val="00BD4F1E"/>
    <w:rsid w:val="00BD5D3B"/>
    <w:rsid w:val="00BD62E0"/>
    <w:rsid w:val="00BD6644"/>
    <w:rsid w:val="00BD6BF1"/>
    <w:rsid w:val="00BD7AA0"/>
    <w:rsid w:val="00BE079D"/>
    <w:rsid w:val="00BE14E9"/>
    <w:rsid w:val="00BE2249"/>
    <w:rsid w:val="00BE2762"/>
    <w:rsid w:val="00BE31F3"/>
    <w:rsid w:val="00BE3922"/>
    <w:rsid w:val="00BE3E97"/>
    <w:rsid w:val="00BE5131"/>
    <w:rsid w:val="00BE5788"/>
    <w:rsid w:val="00BE5AEA"/>
    <w:rsid w:val="00BE5CB6"/>
    <w:rsid w:val="00BE6352"/>
    <w:rsid w:val="00BE692F"/>
    <w:rsid w:val="00BE6D38"/>
    <w:rsid w:val="00BE7E83"/>
    <w:rsid w:val="00BF044E"/>
    <w:rsid w:val="00BF056F"/>
    <w:rsid w:val="00BF2098"/>
    <w:rsid w:val="00BF35DE"/>
    <w:rsid w:val="00BF5785"/>
    <w:rsid w:val="00BF5B64"/>
    <w:rsid w:val="00BF60A0"/>
    <w:rsid w:val="00BF6F7D"/>
    <w:rsid w:val="00BF7871"/>
    <w:rsid w:val="00C005F9"/>
    <w:rsid w:val="00C00602"/>
    <w:rsid w:val="00C010FB"/>
    <w:rsid w:val="00C0174A"/>
    <w:rsid w:val="00C01D6C"/>
    <w:rsid w:val="00C02232"/>
    <w:rsid w:val="00C0405C"/>
    <w:rsid w:val="00C0495E"/>
    <w:rsid w:val="00C07530"/>
    <w:rsid w:val="00C0783E"/>
    <w:rsid w:val="00C07A63"/>
    <w:rsid w:val="00C10A8E"/>
    <w:rsid w:val="00C118D7"/>
    <w:rsid w:val="00C12134"/>
    <w:rsid w:val="00C12CED"/>
    <w:rsid w:val="00C13CA0"/>
    <w:rsid w:val="00C15277"/>
    <w:rsid w:val="00C16980"/>
    <w:rsid w:val="00C20DCD"/>
    <w:rsid w:val="00C21642"/>
    <w:rsid w:val="00C21A09"/>
    <w:rsid w:val="00C224A7"/>
    <w:rsid w:val="00C2429D"/>
    <w:rsid w:val="00C24DCA"/>
    <w:rsid w:val="00C25BF4"/>
    <w:rsid w:val="00C26D1B"/>
    <w:rsid w:val="00C2759B"/>
    <w:rsid w:val="00C27C6B"/>
    <w:rsid w:val="00C27E20"/>
    <w:rsid w:val="00C30C7C"/>
    <w:rsid w:val="00C312E0"/>
    <w:rsid w:val="00C320E6"/>
    <w:rsid w:val="00C32638"/>
    <w:rsid w:val="00C32C35"/>
    <w:rsid w:val="00C32EA2"/>
    <w:rsid w:val="00C331B7"/>
    <w:rsid w:val="00C3467B"/>
    <w:rsid w:val="00C3548B"/>
    <w:rsid w:val="00C357B1"/>
    <w:rsid w:val="00C3676A"/>
    <w:rsid w:val="00C36DC8"/>
    <w:rsid w:val="00C377BE"/>
    <w:rsid w:val="00C37C85"/>
    <w:rsid w:val="00C40E1A"/>
    <w:rsid w:val="00C41A9F"/>
    <w:rsid w:val="00C423C8"/>
    <w:rsid w:val="00C42D90"/>
    <w:rsid w:val="00C44786"/>
    <w:rsid w:val="00C447E2"/>
    <w:rsid w:val="00C44A7A"/>
    <w:rsid w:val="00C44A7F"/>
    <w:rsid w:val="00C44E8C"/>
    <w:rsid w:val="00C45131"/>
    <w:rsid w:val="00C4555E"/>
    <w:rsid w:val="00C464F3"/>
    <w:rsid w:val="00C47826"/>
    <w:rsid w:val="00C479D6"/>
    <w:rsid w:val="00C47EE7"/>
    <w:rsid w:val="00C505C5"/>
    <w:rsid w:val="00C5063A"/>
    <w:rsid w:val="00C51287"/>
    <w:rsid w:val="00C512A1"/>
    <w:rsid w:val="00C5165B"/>
    <w:rsid w:val="00C51670"/>
    <w:rsid w:val="00C524CD"/>
    <w:rsid w:val="00C52781"/>
    <w:rsid w:val="00C52F42"/>
    <w:rsid w:val="00C535FC"/>
    <w:rsid w:val="00C54602"/>
    <w:rsid w:val="00C54B0A"/>
    <w:rsid w:val="00C553BC"/>
    <w:rsid w:val="00C555E0"/>
    <w:rsid w:val="00C55CF3"/>
    <w:rsid w:val="00C56FA5"/>
    <w:rsid w:val="00C5724B"/>
    <w:rsid w:val="00C57708"/>
    <w:rsid w:val="00C57BEC"/>
    <w:rsid w:val="00C61412"/>
    <w:rsid w:val="00C61D65"/>
    <w:rsid w:val="00C61FB2"/>
    <w:rsid w:val="00C63A02"/>
    <w:rsid w:val="00C64405"/>
    <w:rsid w:val="00C6471B"/>
    <w:rsid w:val="00C64993"/>
    <w:rsid w:val="00C64F96"/>
    <w:rsid w:val="00C66438"/>
    <w:rsid w:val="00C6659C"/>
    <w:rsid w:val="00C66671"/>
    <w:rsid w:val="00C66E89"/>
    <w:rsid w:val="00C672F8"/>
    <w:rsid w:val="00C708C5"/>
    <w:rsid w:val="00C70A40"/>
    <w:rsid w:val="00C71408"/>
    <w:rsid w:val="00C71509"/>
    <w:rsid w:val="00C71A7B"/>
    <w:rsid w:val="00C72C9E"/>
    <w:rsid w:val="00C74358"/>
    <w:rsid w:val="00C756CA"/>
    <w:rsid w:val="00C759AB"/>
    <w:rsid w:val="00C7696D"/>
    <w:rsid w:val="00C76BBA"/>
    <w:rsid w:val="00C77EA6"/>
    <w:rsid w:val="00C80057"/>
    <w:rsid w:val="00C81762"/>
    <w:rsid w:val="00C81BD3"/>
    <w:rsid w:val="00C824B8"/>
    <w:rsid w:val="00C82860"/>
    <w:rsid w:val="00C82A50"/>
    <w:rsid w:val="00C83583"/>
    <w:rsid w:val="00C83A8E"/>
    <w:rsid w:val="00C84104"/>
    <w:rsid w:val="00C84C2C"/>
    <w:rsid w:val="00C84E3B"/>
    <w:rsid w:val="00C85E13"/>
    <w:rsid w:val="00C8605A"/>
    <w:rsid w:val="00C866F3"/>
    <w:rsid w:val="00C8671B"/>
    <w:rsid w:val="00C86755"/>
    <w:rsid w:val="00C86E4D"/>
    <w:rsid w:val="00C87998"/>
    <w:rsid w:val="00C87D5C"/>
    <w:rsid w:val="00C87F1C"/>
    <w:rsid w:val="00C87FE2"/>
    <w:rsid w:val="00C9037B"/>
    <w:rsid w:val="00C903CC"/>
    <w:rsid w:val="00C908B1"/>
    <w:rsid w:val="00C91CBC"/>
    <w:rsid w:val="00C93BE8"/>
    <w:rsid w:val="00C949D5"/>
    <w:rsid w:val="00C95649"/>
    <w:rsid w:val="00C95E6D"/>
    <w:rsid w:val="00C95F02"/>
    <w:rsid w:val="00C9623B"/>
    <w:rsid w:val="00C96431"/>
    <w:rsid w:val="00C96536"/>
    <w:rsid w:val="00C96F88"/>
    <w:rsid w:val="00C97E73"/>
    <w:rsid w:val="00C97EE4"/>
    <w:rsid w:val="00CA0C2A"/>
    <w:rsid w:val="00CA0F9E"/>
    <w:rsid w:val="00CA1189"/>
    <w:rsid w:val="00CA1780"/>
    <w:rsid w:val="00CA1D55"/>
    <w:rsid w:val="00CA1ECC"/>
    <w:rsid w:val="00CA20C8"/>
    <w:rsid w:val="00CA30D8"/>
    <w:rsid w:val="00CA36BD"/>
    <w:rsid w:val="00CA3D0E"/>
    <w:rsid w:val="00CA4A88"/>
    <w:rsid w:val="00CA50A1"/>
    <w:rsid w:val="00CA5499"/>
    <w:rsid w:val="00CA5A93"/>
    <w:rsid w:val="00CA5F39"/>
    <w:rsid w:val="00CA776B"/>
    <w:rsid w:val="00CA7C72"/>
    <w:rsid w:val="00CA7E0C"/>
    <w:rsid w:val="00CB19D7"/>
    <w:rsid w:val="00CB2444"/>
    <w:rsid w:val="00CB2DC9"/>
    <w:rsid w:val="00CB3D03"/>
    <w:rsid w:val="00CB3D62"/>
    <w:rsid w:val="00CB417B"/>
    <w:rsid w:val="00CB44DB"/>
    <w:rsid w:val="00CB493D"/>
    <w:rsid w:val="00CB49E6"/>
    <w:rsid w:val="00CB5C9D"/>
    <w:rsid w:val="00CB7DD3"/>
    <w:rsid w:val="00CC0208"/>
    <w:rsid w:val="00CC03EA"/>
    <w:rsid w:val="00CC05AA"/>
    <w:rsid w:val="00CC0879"/>
    <w:rsid w:val="00CC0A6C"/>
    <w:rsid w:val="00CC0F32"/>
    <w:rsid w:val="00CC1ECF"/>
    <w:rsid w:val="00CC25CB"/>
    <w:rsid w:val="00CC3932"/>
    <w:rsid w:val="00CC4322"/>
    <w:rsid w:val="00CC508B"/>
    <w:rsid w:val="00CC530D"/>
    <w:rsid w:val="00CC5888"/>
    <w:rsid w:val="00CC5EAB"/>
    <w:rsid w:val="00CC671E"/>
    <w:rsid w:val="00CC7063"/>
    <w:rsid w:val="00CC7E48"/>
    <w:rsid w:val="00CD05FC"/>
    <w:rsid w:val="00CD0A6C"/>
    <w:rsid w:val="00CD0DE5"/>
    <w:rsid w:val="00CD0E53"/>
    <w:rsid w:val="00CD0FB4"/>
    <w:rsid w:val="00CD1CDA"/>
    <w:rsid w:val="00CD22B2"/>
    <w:rsid w:val="00CD37F2"/>
    <w:rsid w:val="00CD3BDF"/>
    <w:rsid w:val="00CD3E9C"/>
    <w:rsid w:val="00CD4AA1"/>
    <w:rsid w:val="00CD4DD0"/>
    <w:rsid w:val="00CD4FE7"/>
    <w:rsid w:val="00CD66B1"/>
    <w:rsid w:val="00CD70E7"/>
    <w:rsid w:val="00CE0FC0"/>
    <w:rsid w:val="00CE2007"/>
    <w:rsid w:val="00CE2CCE"/>
    <w:rsid w:val="00CE318C"/>
    <w:rsid w:val="00CE3235"/>
    <w:rsid w:val="00CE32DE"/>
    <w:rsid w:val="00CE43CA"/>
    <w:rsid w:val="00CE4404"/>
    <w:rsid w:val="00CE4A0C"/>
    <w:rsid w:val="00CE532C"/>
    <w:rsid w:val="00CE532D"/>
    <w:rsid w:val="00CE5C6A"/>
    <w:rsid w:val="00CE5E08"/>
    <w:rsid w:val="00CE61C2"/>
    <w:rsid w:val="00CE624A"/>
    <w:rsid w:val="00CE6646"/>
    <w:rsid w:val="00CE6761"/>
    <w:rsid w:val="00CE7526"/>
    <w:rsid w:val="00CF0A06"/>
    <w:rsid w:val="00CF1279"/>
    <w:rsid w:val="00CF1794"/>
    <w:rsid w:val="00CF17ED"/>
    <w:rsid w:val="00CF1D44"/>
    <w:rsid w:val="00CF23D3"/>
    <w:rsid w:val="00CF2E3A"/>
    <w:rsid w:val="00CF3211"/>
    <w:rsid w:val="00CF38ED"/>
    <w:rsid w:val="00CF60EB"/>
    <w:rsid w:val="00CF6CA9"/>
    <w:rsid w:val="00CF7BED"/>
    <w:rsid w:val="00CF7F17"/>
    <w:rsid w:val="00D001D9"/>
    <w:rsid w:val="00D0139B"/>
    <w:rsid w:val="00D0148B"/>
    <w:rsid w:val="00D02789"/>
    <w:rsid w:val="00D02A8A"/>
    <w:rsid w:val="00D02CA3"/>
    <w:rsid w:val="00D0314B"/>
    <w:rsid w:val="00D039B4"/>
    <w:rsid w:val="00D03E19"/>
    <w:rsid w:val="00D043F0"/>
    <w:rsid w:val="00D04C29"/>
    <w:rsid w:val="00D05BAF"/>
    <w:rsid w:val="00D0620D"/>
    <w:rsid w:val="00D06298"/>
    <w:rsid w:val="00D07A98"/>
    <w:rsid w:val="00D1051E"/>
    <w:rsid w:val="00D10E5D"/>
    <w:rsid w:val="00D111E8"/>
    <w:rsid w:val="00D126F7"/>
    <w:rsid w:val="00D13F0B"/>
    <w:rsid w:val="00D1421C"/>
    <w:rsid w:val="00D14E45"/>
    <w:rsid w:val="00D15254"/>
    <w:rsid w:val="00D15898"/>
    <w:rsid w:val="00D15C2C"/>
    <w:rsid w:val="00D17717"/>
    <w:rsid w:val="00D178A2"/>
    <w:rsid w:val="00D17A6D"/>
    <w:rsid w:val="00D17C1E"/>
    <w:rsid w:val="00D206FB"/>
    <w:rsid w:val="00D225C6"/>
    <w:rsid w:val="00D2535E"/>
    <w:rsid w:val="00D2539B"/>
    <w:rsid w:val="00D26D61"/>
    <w:rsid w:val="00D30D9D"/>
    <w:rsid w:val="00D31A41"/>
    <w:rsid w:val="00D33D57"/>
    <w:rsid w:val="00D345FE"/>
    <w:rsid w:val="00D34894"/>
    <w:rsid w:val="00D3562B"/>
    <w:rsid w:val="00D36710"/>
    <w:rsid w:val="00D378E5"/>
    <w:rsid w:val="00D405DE"/>
    <w:rsid w:val="00D409C8"/>
    <w:rsid w:val="00D40BA8"/>
    <w:rsid w:val="00D424F3"/>
    <w:rsid w:val="00D4255E"/>
    <w:rsid w:val="00D42910"/>
    <w:rsid w:val="00D432A4"/>
    <w:rsid w:val="00D44B83"/>
    <w:rsid w:val="00D44CF5"/>
    <w:rsid w:val="00D4523A"/>
    <w:rsid w:val="00D452A9"/>
    <w:rsid w:val="00D4605B"/>
    <w:rsid w:val="00D468C7"/>
    <w:rsid w:val="00D516AE"/>
    <w:rsid w:val="00D51CA3"/>
    <w:rsid w:val="00D53C27"/>
    <w:rsid w:val="00D54213"/>
    <w:rsid w:val="00D55D92"/>
    <w:rsid w:val="00D55E6C"/>
    <w:rsid w:val="00D56EC3"/>
    <w:rsid w:val="00D600A3"/>
    <w:rsid w:val="00D601AC"/>
    <w:rsid w:val="00D60E00"/>
    <w:rsid w:val="00D61EA8"/>
    <w:rsid w:val="00D62283"/>
    <w:rsid w:val="00D624D4"/>
    <w:rsid w:val="00D62B83"/>
    <w:rsid w:val="00D6304D"/>
    <w:rsid w:val="00D6322B"/>
    <w:rsid w:val="00D63482"/>
    <w:rsid w:val="00D63A0B"/>
    <w:rsid w:val="00D63B6C"/>
    <w:rsid w:val="00D63C17"/>
    <w:rsid w:val="00D63D9C"/>
    <w:rsid w:val="00D64827"/>
    <w:rsid w:val="00D6488B"/>
    <w:rsid w:val="00D65590"/>
    <w:rsid w:val="00D65A65"/>
    <w:rsid w:val="00D65FFA"/>
    <w:rsid w:val="00D66081"/>
    <w:rsid w:val="00D6735D"/>
    <w:rsid w:val="00D701BF"/>
    <w:rsid w:val="00D70363"/>
    <w:rsid w:val="00D706B4"/>
    <w:rsid w:val="00D712F1"/>
    <w:rsid w:val="00D717FD"/>
    <w:rsid w:val="00D71C55"/>
    <w:rsid w:val="00D72008"/>
    <w:rsid w:val="00D720A9"/>
    <w:rsid w:val="00D7228C"/>
    <w:rsid w:val="00D72543"/>
    <w:rsid w:val="00D72E2C"/>
    <w:rsid w:val="00D73159"/>
    <w:rsid w:val="00D732FA"/>
    <w:rsid w:val="00D73E36"/>
    <w:rsid w:val="00D73F13"/>
    <w:rsid w:val="00D73FA4"/>
    <w:rsid w:val="00D7492B"/>
    <w:rsid w:val="00D7702F"/>
    <w:rsid w:val="00D776B6"/>
    <w:rsid w:val="00D77CC4"/>
    <w:rsid w:val="00D80703"/>
    <w:rsid w:val="00D808F5"/>
    <w:rsid w:val="00D80FE2"/>
    <w:rsid w:val="00D810B7"/>
    <w:rsid w:val="00D8164F"/>
    <w:rsid w:val="00D823E8"/>
    <w:rsid w:val="00D834EB"/>
    <w:rsid w:val="00D83BB1"/>
    <w:rsid w:val="00D85332"/>
    <w:rsid w:val="00D859A2"/>
    <w:rsid w:val="00D86620"/>
    <w:rsid w:val="00D8698F"/>
    <w:rsid w:val="00D86A68"/>
    <w:rsid w:val="00D87138"/>
    <w:rsid w:val="00D87360"/>
    <w:rsid w:val="00D87C07"/>
    <w:rsid w:val="00D901C3"/>
    <w:rsid w:val="00D9061C"/>
    <w:rsid w:val="00D90982"/>
    <w:rsid w:val="00D90B8D"/>
    <w:rsid w:val="00D90EF1"/>
    <w:rsid w:val="00D91824"/>
    <w:rsid w:val="00D93AAE"/>
    <w:rsid w:val="00D94098"/>
    <w:rsid w:val="00D9491B"/>
    <w:rsid w:val="00D94B19"/>
    <w:rsid w:val="00D9503B"/>
    <w:rsid w:val="00D95D3E"/>
    <w:rsid w:val="00D95F56"/>
    <w:rsid w:val="00D95F63"/>
    <w:rsid w:val="00D963CA"/>
    <w:rsid w:val="00D96501"/>
    <w:rsid w:val="00D96733"/>
    <w:rsid w:val="00D968D9"/>
    <w:rsid w:val="00D96ECF"/>
    <w:rsid w:val="00D97CB0"/>
    <w:rsid w:val="00D97DBF"/>
    <w:rsid w:val="00D97F85"/>
    <w:rsid w:val="00DA1980"/>
    <w:rsid w:val="00DA2191"/>
    <w:rsid w:val="00DA279C"/>
    <w:rsid w:val="00DA33BC"/>
    <w:rsid w:val="00DA3C64"/>
    <w:rsid w:val="00DA45A4"/>
    <w:rsid w:val="00DA494E"/>
    <w:rsid w:val="00DA4C44"/>
    <w:rsid w:val="00DA5558"/>
    <w:rsid w:val="00DA630F"/>
    <w:rsid w:val="00DA6821"/>
    <w:rsid w:val="00DA70BA"/>
    <w:rsid w:val="00DA774C"/>
    <w:rsid w:val="00DA7F4F"/>
    <w:rsid w:val="00DB08B8"/>
    <w:rsid w:val="00DB12A5"/>
    <w:rsid w:val="00DB1686"/>
    <w:rsid w:val="00DB1B9E"/>
    <w:rsid w:val="00DB308D"/>
    <w:rsid w:val="00DB3D6F"/>
    <w:rsid w:val="00DB3EF2"/>
    <w:rsid w:val="00DB48DF"/>
    <w:rsid w:val="00DB4F2B"/>
    <w:rsid w:val="00DB4F6C"/>
    <w:rsid w:val="00DB62D4"/>
    <w:rsid w:val="00DB68AE"/>
    <w:rsid w:val="00DB6D71"/>
    <w:rsid w:val="00DB6E6F"/>
    <w:rsid w:val="00DC0C00"/>
    <w:rsid w:val="00DC1536"/>
    <w:rsid w:val="00DC2FA9"/>
    <w:rsid w:val="00DC4511"/>
    <w:rsid w:val="00DC65AA"/>
    <w:rsid w:val="00DC72F6"/>
    <w:rsid w:val="00DC74C6"/>
    <w:rsid w:val="00DC7541"/>
    <w:rsid w:val="00DC7A04"/>
    <w:rsid w:val="00DC7B49"/>
    <w:rsid w:val="00DC7CB0"/>
    <w:rsid w:val="00DD015B"/>
    <w:rsid w:val="00DD03BC"/>
    <w:rsid w:val="00DD0E77"/>
    <w:rsid w:val="00DD149A"/>
    <w:rsid w:val="00DD1573"/>
    <w:rsid w:val="00DD1619"/>
    <w:rsid w:val="00DD1E6E"/>
    <w:rsid w:val="00DD22CC"/>
    <w:rsid w:val="00DD22D5"/>
    <w:rsid w:val="00DD28C5"/>
    <w:rsid w:val="00DD3ADA"/>
    <w:rsid w:val="00DD43E8"/>
    <w:rsid w:val="00DD47C8"/>
    <w:rsid w:val="00DD493D"/>
    <w:rsid w:val="00DD508F"/>
    <w:rsid w:val="00DD5B57"/>
    <w:rsid w:val="00DD7121"/>
    <w:rsid w:val="00DD712D"/>
    <w:rsid w:val="00DD728A"/>
    <w:rsid w:val="00DD7CA9"/>
    <w:rsid w:val="00DE1220"/>
    <w:rsid w:val="00DE233F"/>
    <w:rsid w:val="00DE3A59"/>
    <w:rsid w:val="00DE455B"/>
    <w:rsid w:val="00DE5979"/>
    <w:rsid w:val="00DE59DF"/>
    <w:rsid w:val="00DE5E84"/>
    <w:rsid w:val="00DE6711"/>
    <w:rsid w:val="00DE706E"/>
    <w:rsid w:val="00DE76AF"/>
    <w:rsid w:val="00DE79E7"/>
    <w:rsid w:val="00DF0D61"/>
    <w:rsid w:val="00DF1713"/>
    <w:rsid w:val="00DF2BD2"/>
    <w:rsid w:val="00DF3B40"/>
    <w:rsid w:val="00DF3C15"/>
    <w:rsid w:val="00DF4274"/>
    <w:rsid w:val="00DF42BC"/>
    <w:rsid w:val="00DF515B"/>
    <w:rsid w:val="00DF6237"/>
    <w:rsid w:val="00DF6A9F"/>
    <w:rsid w:val="00DF7653"/>
    <w:rsid w:val="00DF77E9"/>
    <w:rsid w:val="00DF79FC"/>
    <w:rsid w:val="00E00A75"/>
    <w:rsid w:val="00E00B2D"/>
    <w:rsid w:val="00E0114B"/>
    <w:rsid w:val="00E01A54"/>
    <w:rsid w:val="00E02B99"/>
    <w:rsid w:val="00E03732"/>
    <w:rsid w:val="00E03CD9"/>
    <w:rsid w:val="00E03DE0"/>
    <w:rsid w:val="00E04D64"/>
    <w:rsid w:val="00E05C2E"/>
    <w:rsid w:val="00E06C64"/>
    <w:rsid w:val="00E07AC9"/>
    <w:rsid w:val="00E10888"/>
    <w:rsid w:val="00E10C6A"/>
    <w:rsid w:val="00E11EE8"/>
    <w:rsid w:val="00E13EC1"/>
    <w:rsid w:val="00E14813"/>
    <w:rsid w:val="00E15310"/>
    <w:rsid w:val="00E1581E"/>
    <w:rsid w:val="00E15A5F"/>
    <w:rsid w:val="00E160CD"/>
    <w:rsid w:val="00E16297"/>
    <w:rsid w:val="00E165B9"/>
    <w:rsid w:val="00E20BC4"/>
    <w:rsid w:val="00E21628"/>
    <w:rsid w:val="00E21C48"/>
    <w:rsid w:val="00E2381C"/>
    <w:rsid w:val="00E2440C"/>
    <w:rsid w:val="00E24465"/>
    <w:rsid w:val="00E24B76"/>
    <w:rsid w:val="00E25211"/>
    <w:rsid w:val="00E25D10"/>
    <w:rsid w:val="00E262AB"/>
    <w:rsid w:val="00E2633A"/>
    <w:rsid w:val="00E27962"/>
    <w:rsid w:val="00E301C7"/>
    <w:rsid w:val="00E301D7"/>
    <w:rsid w:val="00E308FD"/>
    <w:rsid w:val="00E30AAA"/>
    <w:rsid w:val="00E325BE"/>
    <w:rsid w:val="00E32A84"/>
    <w:rsid w:val="00E3323B"/>
    <w:rsid w:val="00E33296"/>
    <w:rsid w:val="00E334C6"/>
    <w:rsid w:val="00E3422A"/>
    <w:rsid w:val="00E3584E"/>
    <w:rsid w:val="00E35EDF"/>
    <w:rsid w:val="00E3669A"/>
    <w:rsid w:val="00E36D7F"/>
    <w:rsid w:val="00E401B5"/>
    <w:rsid w:val="00E4088E"/>
    <w:rsid w:val="00E415CF"/>
    <w:rsid w:val="00E415F8"/>
    <w:rsid w:val="00E418A4"/>
    <w:rsid w:val="00E420C9"/>
    <w:rsid w:val="00E423C7"/>
    <w:rsid w:val="00E428EE"/>
    <w:rsid w:val="00E446EB"/>
    <w:rsid w:val="00E452CA"/>
    <w:rsid w:val="00E458FF"/>
    <w:rsid w:val="00E4672D"/>
    <w:rsid w:val="00E47C26"/>
    <w:rsid w:val="00E507E9"/>
    <w:rsid w:val="00E50F3E"/>
    <w:rsid w:val="00E50F82"/>
    <w:rsid w:val="00E5124E"/>
    <w:rsid w:val="00E51EEA"/>
    <w:rsid w:val="00E521B7"/>
    <w:rsid w:val="00E53117"/>
    <w:rsid w:val="00E553A9"/>
    <w:rsid w:val="00E561EA"/>
    <w:rsid w:val="00E56EB6"/>
    <w:rsid w:val="00E60196"/>
    <w:rsid w:val="00E60C83"/>
    <w:rsid w:val="00E60D7F"/>
    <w:rsid w:val="00E616AA"/>
    <w:rsid w:val="00E6177F"/>
    <w:rsid w:val="00E61DF0"/>
    <w:rsid w:val="00E62646"/>
    <w:rsid w:val="00E626C6"/>
    <w:rsid w:val="00E629C5"/>
    <w:rsid w:val="00E62AE9"/>
    <w:rsid w:val="00E640C6"/>
    <w:rsid w:val="00E641CB"/>
    <w:rsid w:val="00E64491"/>
    <w:rsid w:val="00E665D6"/>
    <w:rsid w:val="00E67357"/>
    <w:rsid w:val="00E67636"/>
    <w:rsid w:val="00E67908"/>
    <w:rsid w:val="00E7019F"/>
    <w:rsid w:val="00E70C37"/>
    <w:rsid w:val="00E70C64"/>
    <w:rsid w:val="00E70D04"/>
    <w:rsid w:val="00E719C1"/>
    <w:rsid w:val="00E72259"/>
    <w:rsid w:val="00E72EA0"/>
    <w:rsid w:val="00E7302C"/>
    <w:rsid w:val="00E73266"/>
    <w:rsid w:val="00E7384A"/>
    <w:rsid w:val="00E73C0D"/>
    <w:rsid w:val="00E746F8"/>
    <w:rsid w:val="00E75455"/>
    <w:rsid w:val="00E75D45"/>
    <w:rsid w:val="00E760BE"/>
    <w:rsid w:val="00E770F0"/>
    <w:rsid w:val="00E77A30"/>
    <w:rsid w:val="00E77CCB"/>
    <w:rsid w:val="00E80262"/>
    <w:rsid w:val="00E810AB"/>
    <w:rsid w:val="00E816A3"/>
    <w:rsid w:val="00E81B72"/>
    <w:rsid w:val="00E81BF6"/>
    <w:rsid w:val="00E84B76"/>
    <w:rsid w:val="00E84D66"/>
    <w:rsid w:val="00E85256"/>
    <w:rsid w:val="00E86FBA"/>
    <w:rsid w:val="00E877CD"/>
    <w:rsid w:val="00E9092C"/>
    <w:rsid w:val="00E90B9D"/>
    <w:rsid w:val="00E90F47"/>
    <w:rsid w:val="00E9165B"/>
    <w:rsid w:val="00E91AC9"/>
    <w:rsid w:val="00E923BB"/>
    <w:rsid w:val="00E924CD"/>
    <w:rsid w:val="00E928A4"/>
    <w:rsid w:val="00E92B58"/>
    <w:rsid w:val="00E932DE"/>
    <w:rsid w:val="00E93481"/>
    <w:rsid w:val="00E9373F"/>
    <w:rsid w:val="00E94206"/>
    <w:rsid w:val="00E94865"/>
    <w:rsid w:val="00E952D7"/>
    <w:rsid w:val="00E9555B"/>
    <w:rsid w:val="00E95CF3"/>
    <w:rsid w:val="00E962BE"/>
    <w:rsid w:val="00E962DF"/>
    <w:rsid w:val="00E9665F"/>
    <w:rsid w:val="00E96ACF"/>
    <w:rsid w:val="00E96C1A"/>
    <w:rsid w:val="00E97681"/>
    <w:rsid w:val="00E97778"/>
    <w:rsid w:val="00E97C7B"/>
    <w:rsid w:val="00E97D5C"/>
    <w:rsid w:val="00EA0665"/>
    <w:rsid w:val="00EA0822"/>
    <w:rsid w:val="00EA09BA"/>
    <w:rsid w:val="00EA0BE9"/>
    <w:rsid w:val="00EA14DA"/>
    <w:rsid w:val="00EA1615"/>
    <w:rsid w:val="00EA20C3"/>
    <w:rsid w:val="00EA2B31"/>
    <w:rsid w:val="00EA2D90"/>
    <w:rsid w:val="00EA345B"/>
    <w:rsid w:val="00EA360E"/>
    <w:rsid w:val="00EA3FE6"/>
    <w:rsid w:val="00EA45E0"/>
    <w:rsid w:val="00EA4C2A"/>
    <w:rsid w:val="00EA5F1D"/>
    <w:rsid w:val="00EA6923"/>
    <w:rsid w:val="00EA6978"/>
    <w:rsid w:val="00EA737A"/>
    <w:rsid w:val="00EA7A8C"/>
    <w:rsid w:val="00EB046D"/>
    <w:rsid w:val="00EB0E86"/>
    <w:rsid w:val="00EB2D21"/>
    <w:rsid w:val="00EB2EF3"/>
    <w:rsid w:val="00EB31A5"/>
    <w:rsid w:val="00EB484F"/>
    <w:rsid w:val="00EB55F4"/>
    <w:rsid w:val="00EB5722"/>
    <w:rsid w:val="00EB5F02"/>
    <w:rsid w:val="00EB6E2A"/>
    <w:rsid w:val="00EB6F67"/>
    <w:rsid w:val="00EB7427"/>
    <w:rsid w:val="00EC0949"/>
    <w:rsid w:val="00EC0E40"/>
    <w:rsid w:val="00EC166C"/>
    <w:rsid w:val="00EC215B"/>
    <w:rsid w:val="00EC2FA1"/>
    <w:rsid w:val="00EC3492"/>
    <w:rsid w:val="00EC4297"/>
    <w:rsid w:val="00EC5603"/>
    <w:rsid w:val="00EC5FE5"/>
    <w:rsid w:val="00ED0805"/>
    <w:rsid w:val="00ED0C2E"/>
    <w:rsid w:val="00ED16C1"/>
    <w:rsid w:val="00ED1E83"/>
    <w:rsid w:val="00ED35CB"/>
    <w:rsid w:val="00ED4DF8"/>
    <w:rsid w:val="00ED794A"/>
    <w:rsid w:val="00EE1B71"/>
    <w:rsid w:val="00EE2CE4"/>
    <w:rsid w:val="00EE2D15"/>
    <w:rsid w:val="00EE48EC"/>
    <w:rsid w:val="00EE497D"/>
    <w:rsid w:val="00EE4B45"/>
    <w:rsid w:val="00EE672B"/>
    <w:rsid w:val="00EE72FB"/>
    <w:rsid w:val="00EE7306"/>
    <w:rsid w:val="00EE76D5"/>
    <w:rsid w:val="00EF08F5"/>
    <w:rsid w:val="00EF0E0F"/>
    <w:rsid w:val="00EF13B2"/>
    <w:rsid w:val="00EF1644"/>
    <w:rsid w:val="00EF17FC"/>
    <w:rsid w:val="00EF24CF"/>
    <w:rsid w:val="00EF2D0C"/>
    <w:rsid w:val="00EF34F3"/>
    <w:rsid w:val="00EF370F"/>
    <w:rsid w:val="00EF3849"/>
    <w:rsid w:val="00EF4C8A"/>
    <w:rsid w:val="00EF5073"/>
    <w:rsid w:val="00EF55C5"/>
    <w:rsid w:val="00EF5819"/>
    <w:rsid w:val="00EF62A3"/>
    <w:rsid w:val="00EF6D13"/>
    <w:rsid w:val="00EF6F48"/>
    <w:rsid w:val="00EF71DC"/>
    <w:rsid w:val="00EF7202"/>
    <w:rsid w:val="00EF72A1"/>
    <w:rsid w:val="00EF7B6C"/>
    <w:rsid w:val="00F005CC"/>
    <w:rsid w:val="00F012DA"/>
    <w:rsid w:val="00F01795"/>
    <w:rsid w:val="00F021F6"/>
    <w:rsid w:val="00F0323D"/>
    <w:rsid w:val="00F03964"/>
    <w:rsid w:val="00F044AB"/>
    <w:rsid w:val="00F04B30"/>
    <w:rsid w:val="00F05022"/>
    <w:rsid w:val="00F052BA"/>
    <w:rsid w:val="00F0536B"/>
    <w:rsid w:val="00F06168"/>
    <w:rsid w:val="00F06240"/>
    <w:rsid w:val="00F0750A"/>
    <w:rsid w:val="00F1070A"/>
    <w:rsid w:val="00F1160C"/>
    <w:rsid w:val="00F11EBF"/>
    <w:rsid w:val="00F11EE4"/>
    <w:rsid w:val="00F12E54"/>
    <w:rsid w:val="00F1366B"/>
    <w:rsid w:val="00F13CA3"/>
    <w:rsid w:val="00F15AD8"/>
    <w:rsid w:val="00F164E7"/>
    <w:rsid w:val="00F16712"/>
    <w:rsid w:val="00F17FE5"/>
    <w:rsid w:val="00F20170"/>
    <w:rsid w:val="00F20D5F"/>
    <w:rsid w:val="00F215BF"/>
    <w:rsid w:val="00F21838"/>
    <w:rsid w:val="00F22164"/>
    <w:rsid w:val="00F22FD8"/>
    <w:rsid w:val="00F23483"/>
    <w:rsid w:val="00F239C6"/>
    <w:rsid w:val="00F240E3"/>
    <w:rsid w:val="00F243B6"/>
    <w:rsid w:val="00F25707"/>
    <w:rsid w:val="00F2579F"/>
    <w:rsid w:val="00F2599D"/>
    <w:rsid w:val="00F25AA4"/>
    <w:rsid w:val="00F25C1F"/>
    <w:rsid w:val="00F26241"/>
    <w:rsid w:val="00F27530"/>
    <w:rsid w:val="00F27AC8"/>
    <w:rsid w:val="00F27CA0"/>
    <w:rsid w:val="00F27F3B"/>
    <w:rsid w:val="00F3017C"/>
    <w:rsid w:val="00F30B18"/>
    <w:rsid w:val="00F311E9"/>
    <w:rsid w:val="00F323A6"/>
    <w:rsid w:val="00F32C00"/>
    <w:rsid w:val="00F33353"/>
    <w:rsid w:val="00F34196"/>
    <w:rsid w:val="00F34200"/>
    <w:rsid w:val="00F35B5F"/>
    <w:rsid w:val="00F35DAF"/>
    <w:rsid w:val="00F35F3A"/>
    <w:rsid w:val="00F3601C"/>
    <w:rsid w:val="00F360C1"/>
    <w:rsid w:val="00F3621E"/>
    <w:rsid w:val="00F36933"/>
    <w:rsid w:val="00F37FC3"/>
    <w:rsid w:val="00F41036"/>
    <w:rsid w:val="00F4265D"/>
    <w:rsid w:val="00F42AD7"/>
    <w:rsid w:val="00F44861"/>
    <w:rsid w:val="00F44B5C"/>
    <w:rsid w:val="00F45735"/>
    <w:rsid w:val="00F45A25"/>
    <w:rsid w:val="00F45C48"/>
    <w:rsid w:val="00F46E90"/>
    <w:rsid w:val="00F5052D"/>
    <w:rsid w:val="00F50724"/>
    <w:rsid w:val="00F51032"/>
    <w:rsid w:val="00F51F61"/>
    <w:rsid w:val="00F533FB"/>
    <w:rsid w:val="00F55181"/>
    <w:rsid w:val="00F554CC"/>
    <w:rsid w:val="00F5565B"/>
    <w:rsid w:val="00F56AB3"/>
    <w:rsid w:val="00F56E68"/>
    <w:rsid w:val="00F57302"/>
    <w:rsid w:val="00F60E41"/>
    <w:rsid w:val="00F61250"/>
    <w:rsid w:val="00F615A2"/>
    <w:rsid w:val="00F6184B"/>
    <w:rsid w:val="00F61DCB"/>
    <w:rsid w:val="00F61FA8"/>
    <w:rsid w:val="00F625AF"/>
    <w:rsid w:val="00F62B02"/>
    <w:rsid w:val="00F63533"/>
    <w:rsid w:val="00F63A53"/>
    <w:rsid w:val="00F6466C"/>
    <w:rsid w:val="00F66998"/>
    <w:rsid w:val="00F675CF"/>
    <w:rsid w:val="00F67E18"/>
    <w:rsid w:val="00F704C5"/>
    <w:rsid w:val="00F710CC"/>
    <w:rsid w:val="00F71745"/>
    <w:rsid w:val="00F72644"/>
    <w:rsid w:val="00F728C8"/>
    <w:rsid w:val="00F72F46"/>
    <w:rsid w:val="00F74D5D"/>
    <w:rsid w:val="00F75913"/>
    <w:rsid w:val="00F7628B"/>
    <w:rsid w:val="00F76692"/>
    <w:rsid w:val="00F801D8"/>
    <w:rsid w:val="00F81247"/>
    <w:rsid w:val="00F8150B"/>
    <w:rsid w:val="00F82AC2"/>
    <w:rsid w:val="00F82D4F"/>
    <w:rsid w:val="00F82DBE"/>
    <w:rsid w:val="00F83064"/>
    <w:rsid w:val="00F8367B"/>
    <w:rsid w:val="00F84D9C"/>
    <w:rsid w:val="00F84E6E"/>
    <w:rsid w:val="00F852F9"/>
    <w:rsid w:val="00F859FC"/>
    <w:rsid w:val="00F85FEC"/>
    <w:rsid w:val="00F8631D"/>
    <w:rsid w:val="00F864D2"/>
    <w:rsid w:val="00F87095"/>
    <w:rsid w:val="00F875B6"/>
    <w:rsid w:val="00F87C6B"/>
    <w:rsid w:val="00F87D42"/>
    <w:rsid w:val="00F87F17"/>
    <w:rsid w:val="00F92345"/>
    <w:rsid w:val="00F92591"/>
    <w:rsid w:val="00F930A1"/>
    <w:rsid w:val="00F93243"/>
    <w:rsid w:val="00F93BC6"/>
    <w:rsid w:val="00F93D2D"/>
    <w:rsid w:val="00F94B9F"/>
    <w:rsid w:val="00F94D55"/>
    <w:rsid w:val="00F95429"/>
    <w:rsid w:val="00F958FE"/>
    <w:rsid w:val="00F9625E"/>
    <w:rsid w:val="00F96772"/>
    <w:rsid w:val="00F969C5"/>
    <w:rsid w:val="00F96D70"/>
    <w:rsid w:val="00F97D71"/>
    <w:rsid w:val="00FA149D"/>
    <w:rsid w:val="00FA1B2F"/>
    <w:rsid w:val="00FA1D86"/>
    <w:rsid w:val="00FA2353"/>
    <w:rsid w:val="00FA2795"/>
    <w:rsid w:val="00FA2D8B"/>
    <w:rsid w:val="00FA2ECD"/>
    <w:rsid w:val="00FA5686"/>
    <w:rsid w:val="00FA5BBA"/>
    <w:rsid w:val="00FA5C85"/>
    <w:rsid w:val="00FA5CF7"/>
    <w:rsid w:val="00FA6821"/>
    <w:rsid w:val="00FA6F82"/>
    <w:rsid w:val="00FB02C2"/>
    <w:rsid w:val="00FB05ED"/>
    <w:rsid w:val="00FB098F"/>
    <w:rsid w:val="00FB0B60"/>
    <w:rsid w:val="00FB1D58"/>
    <w:rsid w:val="00FB213B"/>
    <w:rsid w:val="00FB25EF"/>
    <w:rsid w:val="00FB281E"/>
    <w:rsid w:val="00FB2D17"/>
    <w:rsid w:val="00FB3667"/>
    <w:rsid w:val="00FB40EB"/>
    <w:rsid w:val="00FB424B"/>
    <w:rsid w:val="00FB43B5"/>
    <w:rsid w:val="00FB4700"/>
    <w:rsid w:val="00FB4909"/>
    <w:rsid w:val="00FB53C7"/>
    <w:rsid w:val="00FB5E3E"/>
    <w:rsid w:val="00FB5F74"/>
    <w:rsid w:val="00FB60B1"/>
    <w:rsid w:val="00FB7CAD"/>
    <w:rsid w:val="00FC0106"/>
    <w:rsid w:val="00FC0145"/>
    <w:rsid w:val="00FC050D"/>
    <w:rsid w:val="00FC19F4"/>
    <w:rsid w:val="00FC3271"/>
    <w:rsid w:val="00FC36C9"/>
    <w:rsid w:val="00FC36D1"/>
    <w:rsid w:val="00FC4249"/>
    <w:rsid w:val="00FC4540"/>
    <w:rsid w:val="00FC5284"/>
    <w:rsid w:val="00FC5D33"/>
    <w:rsid w:val="00FC63F6"/>
    <w:rsid w:val="00FC6EBC"/>
    <w:rsid w:val="00FC7A5B"/>
    <w:rsid w:val="00FC7CCF"/>
    <w:rsid w:val="00FD00DF"/>
    <w:rsid w:val="00FD07F9"/>
    <w:rsid w:val="00FD114D"/>
    <w:rsid w:val="00FD1D90"/>
    <w:rsid w:val="00FD1ED1"/>
    <w:rsid w:val="00FD2017"/>
    <w:rsid w:val="00FD2150"/>
    <w:rsid w:val="00FD2220"/>
    <w:rsid w:val="00FD3BDA"/>
    <w:rsid w:val="00FD5580"/>
    <w:rsid w:val="00FE089F"/>
    <w:rsid w:val="00FE0AC0"/>
    <w:rsid w:val="00FE1130"/>
    <w:rsid w:val="00FE2683"/>
    <w:rsid w:val="00FE2BD1"/>
    <w:rsid w:val="00FE2C6A"/>
    <w:rsid w:val="00FE2F05"/>
    <w:rsid w:val="00FE3200"/>
    <w:rsid w:val="00FE3B3D"/>
    <w:rsid w:val="00FE404E"/>
    <w:rsid w:val="00FE4DCB"/>
    <w:rsid w:val="00FE4E60"/>
    <w:rsid w:val="00FE5116"/>
    <w:rsid w:val="00FE619E"/>
    <w:rsid w:val="00FE67D0"/>
    <w:rsid w:val="00FE6BD3"/>
    <w:rsid w:val="00FE7837"/>
    <w:rsid w:val="00FE7DE7"/>
    <w:rsid w:val="00FF0020"/>
    <w:rsid w:val="00FF160B"/>
    <w:rsid w:val="00FF2189"/>
    <w:rsid w:val="00FF422E"/>
    <w:rsid w:val="00FF4E80"/>
    <w:rsid w:val="00FF50C0"/>
    <w:rsid w:val="00FF6E66"/>
    <w:rsid w:val="00FF7DAF"/>
    <w:rsid w:val="00FF7E74"/>
    <w:rsid w:val="00FF7E8F"/>
    <w:rsid w:val="014E4831"/>
    <w:rsid w:val="0179697A"/>
    <w:rsid w:val="01BA73E4"/>
    <w:rsid w:val="01BC61A4"/>
    <w:rsid w:val="01FB23CB"/>
    <w:rsid w:val="026D5C3B"/>
    <w:rsid w:val="029370C7"/>
    <w:rsid w:val="029E0CDB"/>
    <w:rsid w:val="02C60B85"/>
    <w:rsid w:val="02EA7AD6"/>
    <w:rsid w:val="035D4E5C"/>
    <w:rsid w:val="035F495A"/>
    <w:rsid w:val="0378063E"/>
    <w:rsid w:val="03970EF3"/>
    <w:rsid w:val="03AD5615"/>
    <w:rsid w:val="03EE1902"/>
    <w:rsid w:val="04716658"/>
    <w:rsid w:val="049C2D1F"/>
    <w:rsid w:val="04B270C1"/>
    <w:rsid w:val="04DD3789"/>
    <w:rsid w:val="055E085F"/>
    <w:rsid w:val="055F62E0"/>
    <w:rsid w:val="05754C01"/>
    <w:rsid w:val="05B5126E"/>
    <w:rsid w:val="05D77224"/>
    <w:rsid w:val="07071B14"/>
    <w:rsid w:val="07277E4A"/>
    <w:rsid w:val="073161DB"/>
    <w:rsid w:val="076808B4"/>
    <w:rsid w:val="078A686A"/>
    <w:rsid w:val="07C06D44"/>
    <w:rsid w:val="07CA2ED7"/>
    <w:rsid w:val="08575FBE"/>
    <w:rsid w:val="08C52D6F"/>
    <w:rsid w:val="091A3AFD"/>
    <w:rsid w:val="093B1AB4"/>
    <w:rsid w:val="095B7DEA"/>
    <w:rsid w:val="0971450C"/>
    <w:rsid w:val="0972418C"/>
    <w:rsid w:val="098708AE"/>
    <w:rsid w:val="09926C3F"/>
    <w:rsid w:val="09937F44"/>
    <w:rsid w:val="09D50F7A"/>
    <w:rsid w:val="09FE75F3"/>
    <w:rsid w:val="0A1E592A"/>
    <w:rsid w:val="0A2055A9"/>
    <w:rsid w:val="0A616013"/>
    <w:rsid w:val="0A765FB8"/>
    <w:rsid w:val="0A810780"/>
    <w:rsid w:val="0A824B7C"/>
    <w:rsid w:val="0AAC0A11"/>
    <w:rsid w:val="0ACD69C7"/>
    <w:rsid w:val="0AED4CFD"/>
    <w:rsid w:val="0AEE277F"/>
    <w:rsid w:val="0B393AF8"/>
    <w:rsid w:val="0B3A7A6C"/>
    <w:rsid w:val="0C281202"/>
    <w:rsid w:val="0C323D10"/>
    <w:rsid w:val="0C3D5924"/>
    <w:rsid w:val="0C7F1C11"/>
    <w:rsid w:val="0C9363D2"/>
    <w:rsid w:val="0CD6481E"/>
    <w:rsid w:val="0CE51EE5"/>
    <w:rsid w:val="0D4C5AE1"/>
    <w:rsid w:val="0D4F31E3"/>
    <w:rsid w:val="0D591574"/>
    <w:rsid w:val="0D6D0214"/>
    <w:rsid w:val="0D8301BA"/>
    <w:rsid w:val="0D845C3B"/>
    <w:rsid w:val="0DA601C5"/>
    <w:rsid w:val="0DBB0313"/>
    <w:rsid w:val="0DC40C23"/>
    <w:rsid w:val="0DC444A6"/>
    <w:rsid w:val="0DCF2837"/>
    <w:rsid w:val="0DDA0BC8"/>
    <w:rsid w:val="0DFB6B7F"/>
    <w:rsid w:val="0E1B1632"/>
    <w:rsid w:val="0E722040"/>
    <w:rsid w:val="0E7D3C55"/>
    <w:rsid w:val="0EA97F9C"/>
    <w:rsid w:val="0EC904D1"/>
    <w:rsid w:val="0EF56D96"/>
    <w:rsid w:val="0EFF09AB"/>
    <w:rsid w:val="0F025DCB"/>
    <w:rsid w:val="0F411414"/>
    <w:rsid w:val="0F6B5ADC"/>
    <w:rsid w:val="0FAD1DC8"/>
    <w:rsid w:val="0FB70159"/>
    <w:rsid w:val="10036F54"/>
    <w:rsid w:val="1030329B"/>
    <w:rsid w:val="103A162C"/>
    <w:rsid w:val="10705587"/>
    <w:rsid w:val="107D339A"/>
    <w:rsid w:val="109C3C4F"/>
    <w:rsid w:val="10A61FE0"/>
    <w:rsid w:val="10B10371"/>
    <w:rsid w:val="10E82A49"/>
    <w:rsid w:val="10F20DDB"/>
    <w:rsid w:val="115E178F"/>
    <w:rsid w:val="11C101AE"/>
    <w:rsid w:val="11D70154"/>
    <w:rsid w:val="12160F3D"/>
    <w:rsid w:val="124D3615"/>
    <w:rsid w:val="12591626"/>
    <w:rsid w:val="12A44024"/>
    <w:rsid w:val="12C67A5C"/>
    <w:rsid w:val="13270D7A"/>
    <w:rsid w:val="133C549C"/>
    <w:rsid w:val="13577E6B"/>
    <w:rsid w:val="136817E4"/>
    <w:rsid w:val="137333F8"/>
    <w:rsid w:val="13D42198"/>
    <w:rsid w:val="14214815"/>
    <w:rsid w:val="144349CA"/>
    <w:rsid w:val="144C52D9"/>
    <w:rsid w:val="150F2E19"/>
    <w:rsid w:val="15663828"/>
    <w:rsid w:val="15B21729"/>
    <w:rsid w:val="15D31C5D"/>
    <w:rsid w:val="15E563CE"/>
    <w:rsid w:val="161E6859"/>
    <w:rsid w:val="168C360A"/>
    <w:rsid w:val="1696199B"/>
    <w:rsid w:val="16C16063"/>
    <w:rsid w:val="17244A82"/>
    <w:rsid w:val="17394A28"/>
    <w:rsid w:val="17592D5E"/>
    <w:rsid w:val="176E7480"/>
    <w:rsid w:val="17707100"/>
    <w:rsid w:val="17CD1301"/>
    <w:rsid w:val="17DC7AB4"/>
    <w:rsid w:val="17E625C2"/>
    <w:rsid w:val="18345F44"/>
    <w:rsid w:val="185309F7"/>
    <w:rsid w:val="1889564E"/>
    <w:rsid w:val="188A0ED1"/>
    <w:rsid w:val="189439DF"/>
    <w:rsid w:val="18C8188B"/>
    <w:rsid w:val="18E018E0"/>
    <w:rsid w:val="18EB7C71"/>
    <w:rsid w:val="194C6A11"/>
    <w:rsid w:val="19574DA2"/>
    <w:rsid w:val="19BA322A"/>
    <w:rsid w:val="19BA37C2"/>
    <w:rsid w:val="19C41B53"/>
    <w:rsid w:val="19E47E89"/>
    <w:rsid w:val="19EF621A"/>
    <w:rsid w:val="1A2608F3"/>
    <w:rsid w:val="1A3D42B2"/>
    <w:rsid w:val="1A466C29"/>
    <w:rsid w:val="1A48432A"/>
    <w:rsid w:val="1A674BDF"/>
    <w:rsid w:val="1A880997"/>
    <w:rsid w:val="1A9212A7"/>
    <w:rsid w:val="1ADE3924"/>
    <w:rsid w:val="1B0A7C6C"/>
    <w:rsid w:val="1B155FFD"/>
    <w:rsid w:val="1B2A271F"/>
    <w:rsid w:val="1BDA39E6"/>
    <w:rsid w:val="1C197E29"/>
    <w:rsid w:val="1C2F1FCD"/>
    <w:rsid w:val="1C57584E"/>
    <w:rsid w:val="1C6F4FB4"/>
    <w:rsid w:val="1CBB7632"/>
    <w:rsid w:val="1CFD009B"/>
    <w:rsid w:val="1CFE13A0"/>
    <w:rsid w:val="1D1E1D0B"/>
    <w:rsid w:val="1D54432D"/>
    <w:rsid w:val="1D5E26BE"/>
    <w:rsid w:val="1D754862"/>
    <w:rsid w:val="1D8B6A06"/>
    <w:rsid w:val="1DAB4D3C"/>
    <w:rsid w:val="1DE13B91"/>
    <w:rsid w:val="1E0C3ADC"/>
    <w:rsid w:val="1E4D4545"/>
    <w:rsid w:val="1E846C1E"/>
    <w:rsid w:val="1F31003B"/>
    <w:rsid w:val="1F33222D"/>
    <w:rsid w:val="1F5C4703"/>
    <w:rsid w:val="1F936DDB"/>
    <w:rsid w:val="1F9D516C"/>
    <w:rsid w:val="1FA86D80"/>
    <w:rsid w:val="1FCA14B3"/>
    <w:rsid w:val="1FD40D0E"/>
    <w:rsid w:val="1FD552C6"/>
    <w:rsid w:val="200A5B20"/>
    <w:rsid w:val="203778E9"/>
    <w:rsid w:val="204B6589"/>
    <w:rsid w:val="210459B8"/>
    <w:rsid w:val="21452025"/>
    <w:rsid w:val="214F03B6"/>
    <w:rsid w:val="217B46FD"/>
    <w:rsid w:val="217C217E"/>
    <w:rsid w:val="22353B2B"/>
    <w:rsid w:val="223F1EBC"/>
    <w:rsid w:val="224A077C"/>
    <w:rsid w:val="225F01F3"/>
    <w:rsid w:val="22754915"/>
    <w:rsid w:val="22CB5324"/>
    <w:rsid w:val="22ED32DA"/>
    <w:rsid w:val="230279FC"/>
    <w:rsid w:val="23225D32"/>
    <w:rsid w:val="23443CE8"/>
    <w:rsid w:val="23906366"/>
    <w:rsid w:val="23E76D75"/>
    <w:rsid w:val="240772AA"/>
    <w:rsid w:val="243D3F00"/>
    <w:rsid w:val="24531927"/>
    <w:rsid w:val="24683E4B"/>
    <w:rsid w:val="24952391"/>
    <w:rsid w:val="24955C14"/>
    <w:rsid w:val="24EB0BA1"/>
    <w:rsid w:val="251870E7"/>
    <w:rsid w:val="252C160A"/>
    <w:rsid w:val="25415D2D"/>
    <w:rsid w:val="254519CA"/>
    <w:rsid w:val="25795BD8"/>
    <w:rsid w:val="25A30350"/>
    <w:rsid w:val="25EF714A"/>
    <w:rsid w:val="25F954DB"/>
    <w:rsid w:val="26024DD2"/>
    <w:rsid w:val="26102F02"/>
    <w:rsid w:val="26105100"/>
    <w:rsid w:val="268705C2"/>
    <w:rsid w:val="26C848AF"/>
    <w:rsid w:val="26D32C40"/>
    <w:rsid w:val="26DE0FD1"/>
    <w:rsid w:val="273419E0"/>
    <w:rsid w:val="274B7407"/>
    <w:rsid w:val="278C7E70"/>
    <w:rsid w:val="27901BC1"/>
    <w:rsid w:val="281954D5"/>
    <w:rsid w:val="282E547B"/>
    <w:rsid w:val="2845181D"/>
    <w:rsid w:val="28855E8A"/>
    <w:rsid w:val="2892191C"/>
    <w:rsid w:val="28C668F3"/>
    <w:rsid w:val="28DD6A42"/>
    <w:rsid w:val="28F22C3A"/>
    <w:rsid w:val="28F306BC"/>
    <w:rsid w:val="29084DDE"/>
    <w:rsid w:val="291369F2"/>
    <w:rsid w:val="291D7302"/>
    <w:rsid w:val="293272A7"/>
    <w:rsid w:val="29453572"/>
    <w:rsid w:val="295E35EE"/>
    <w:rsid w:val="295E7D6B"/>
    <w:rsid w:val="2969197F"/>
    <w:rsid w:val="29D76728"/>
    <w:rsid w:val="2A0C1188"/>
    <w:rsid w:val="2A4370E4"/>
    <w:rsid w:val="2A8F5EDF"/>
    <w:rsid w:val="2ADD3EA5"/>
    <w:rsid w:val="2AE546EF"/>
    <w:rsid w:val="2AE568ED"/>
    <w:rsid w:val="2AF04C7E"/>
    <w:rsid w:val="2AFB6893"/>
    <w:rsid w:val="2B3C72FC"/>
    <w:rsid w:val="2B47568D"/>
    <w:rsid w:val="2B5272A1"/>
    <w:rsid w:val="2B762613"/>
    <w:rsid w:val="2B9E191F"/>
    <w:rsid w:val="2BA8442D"/>
    <w:rsid w:val="2BBF4052"/>
    <w:rsid w:val="2BD40774"/>
    <w:rsid w:val="2BEB619B"/>
    <w:rsid w:val="2C312D46"/>
    <w:rsid w:val="2C773801"/>
    <w:rsid w:val="2C8D37A6"/>
    <w:rsid w:val="2CC35E7E"/>
    <w:rsid w:val="2D036C68"/>
    <w:rsid w:val="2D0F4C79"/>
    <w:rsid w:val="2D1026FA"/>
    <w:rsid w:val="2D2C22D1"/>
    <w:rsid w:val="2D71729C"/>
    <w:rsid w:val="2D9177D0"/>
    <w:rsid w:val="2E2831C7"/>
    <w:rsid w:val="2E296A4A"/>
    <w:rsid w:val="2E7510C8"/>
    <w:rsid w:val="2E932CFE"/>
    <w:rsid w:val="2E9F2F97"/>
    <w:rsid w:val="2EEB458A"/>
    <w:rsid w:val="2F02092C"/>
    <w:rsid w:val="2F0C34E0"/>
    <w:rsid w:val="2F2346E4"/>
    <w:rsid w:val="2F4E2FA9"/>
    <w:rsid w:val="2F6376CB"/>
    <w:rsid w:val="2F642F4F"/>
    <w:rsid w:val="2F835A02"/>
    <w:rsid w:val="2FA45F37"/>
    <w:rsid w:val="2FC51CEF"/>
    <w:rsid w:val="2FDC6090"/>
    <w:rsid w:val="30110AE9"/>
    <w:rsid w:val="30534DD6"/>
    <w:rsid w:val="305D3167"/>
    <w:rsid w:val="307D149D"/>
    <w:rsid w:val="308974AE"/>
    <w:rsid w:val="31123513"/>
    <w:rsid w:val="31416C5C"/>
    <w:rsid w:val="316C3324"/>
    <w:rsid w:val="31A46D01"/>
    <w:rsid w:val="31F500A1"/>
    <w:rsid w:val="321C1E43"/>
    <w:rsid w:val="32460A89"/>
    <w:rsid w:val="32506E1A"/>
    <w:rsid w:val="32724DD0"/>
    <w:rsid w:val="328714F2"/>
    <w:rsid w:val="32A77828"/>
    <w:rsid w:val="32C957DF"/>
    <w:rsid w:val="32D90B86"/>
    <w:rsid w:val="32E80292"/>
    <w:rsid w:val="330A6248"/>
    <w:rsid w:val="331F61ED"/>
    <w:rsid w:val="3334290F"/>
    <w:rsid w:val="33766BFC"/>
    <w:rsid w:val="34196405"/>
    <w:rsid w:val="3424001A"/>
    <w:rsid w:val="34630E03"/>
    <w:rsid w:val="346F6E14"/>
    <w:rsid w:val="349B0F5D"/>
    <w:rsid w:val="34F23B6A"/>
    <w:rsid w:val="35121EA0"/>
    <w:rsid w:val="35260FC4"/>
    <w:rsid w:val="353201D7"/>
    <w:rsid w:val="35335C58"/>
    <w:rsid w:val="35740C40"/>
    <w:rsid w:val="35A04F88"/>
    <w:rsid w:val="35E037F3"/>
    <w:rsid w:val="35F75996"/>
    <w:rsid w:val="36160449"/>
    <w:rsid w:val="361A7245"/>
    <w:rsid w:val="362D5E70"/>
    <w:rsid w:val="3647586B"/>
    <w:rsid w:val="364D63A5"/>
    <w:rsid w:val="36874DFF"/>
    <w:rsid w:val="36A43530"/>
    <w:rsid w:val="36A46DB4"/>
    <w:rsid w:val="36B27922"/>
    <w:rsid w:val="36B934D6"/>
    <w:rsid w:val="36E5781D"/>
    <w:rsid w:val="37111966"/>
    <w:rsid w:val="37202F54"/>
    <w:rsid w:val="379D6FCC"/>
    <w:rsid w:val="37A92DDE"/>
    <w:rsid w:val="37B336EE"/>
    <w:rsid w:val="37D416A4"/>
    <w:rsid w:val="37F479DA"/>
    <w:rsid w:val="381F40A2"/>
    <w:rsid w:val="382B20B3"/>
    <w:rsid w:val="38402058"/>
    <w:rsid w:val="385507AA"/>
    <w:rsid w:val="3860038E"/>
    <w:rsid w:val="386B671F"/>
    <w:rsid w:val="38764AB1"/>
    <w:rsid w:val="387821B2"/>
    <w:rsid w:val="38CE513F"/>
    <w:rsid w:val="38EE3475"/>
    <w:rsid w:val="39181C0E"/>
    <w:rsid w:val="39255B4E"/>
    <w:rsid w:val="392F3EDF"/>
    <w:rsid w:val="399B4893"/>
    <w:rsid w:val="39D236E8"/>
    <w:rsid w:val="3A2940F7"/>
    <w:rsid w:val="3A6A61E5"/>
    <w:rsid w:val="3A9F2E3C"/>
    <w:rsid w:val="3AA2053D"/>
    <w:rsid w:val="3AC10DF2"/>
    <w:rsid w:val="3B227B92"/>
    <w:rsid w:val="3B2D5F23"/>
    <w:rsid w:val="3B6405FB"/>
    <w:rsid w:val="3B8443B3"/>
    <w:rsid w:val="3B9968D7"/>
    <w:rsid w:val="3BB02C79"/>
    <w:rsid w:val="3BB106FB"/>
    <w:rsid w:val="3BBA100A"/>
    <w:rsid w:val="3BFD2D78"/>
    <w:rsid w:val="3C520284"/>
    <w:rsid w:val="3C535D05"/>
    <w:rsid w:val="3CE974FE"/>
    <w:rsid w:val="3D09183B"/>
    <w:rsid w:val="3D0B54B4"/>
    <w:rsid w:val="3D407F0C"/>
    <w:rsid w:val="3D61263F"/>
    <w:rsid w:val="3D8C4FEC"/>
    <w:rsid w:val="3E0456CC"/>
    <w:rsid w:val="3E0F72E0"/>
    <w:rsid w:val="3E317495"/>
    <w:rsid w:val="3E507D4A"/>
    <w:rsid w:val="3E7B4411"/>
    <w:rsid w:val="3E9D45C5"/>
    <w:rsid w:val="3ECC7AD8"/>
    <w:rsid w:val="3ED42521"/>
    <w:rsid w:val="3F2A54AE"/>
    <w:rsid w:val="3F6B5F18"/>
    <w:rsid w:val="3F8B424E"/>
    <w:rsid w:val="3F9625DF"/>
    <w:rsid w:val="3FED2FEE"/>
    <w:rsid w:val="4015208E"/>
    <w:rsid w:val="402E72DA"/>
    <w:rsid w:val="403A30ED"/>
    <w:rsid w:val="405939A2"/>
    <w:rsid w:val="40857CE9"/>
    <w:rsid w:val="40C60753"/>
    <w:rsid w:val="40D16AE4"/>
    <w:rsid w:val="40E63206"/>
    <w:rsid w:val="412874F2"/>
    <w:rsid w:val="415E1BCB"/>
    <w:rsid w:val="41741B70"/>
    <w:rsid w:val="417E7F01"/>
    <w:rsid w:val="41934623"/>
    <w:rsid w:val="41C0096A"/>
    <w:rsid w:val="42204A3A"/>
    <w:rsid w:val="423676B0"/>
    <w:rsid w:val="426339F7"/>
    <w:rsid w:val="42780119"/>
    <w:rsid w:val="428377AF"/>
    <w:rsid w:val="42985759"/>
    <w:rsid w:val="429960CF"/>
    <w:rsid w:val="43254DBA"/>
    <w:rsid w:val="43311780"/>
    <w:rsid w:val="43677A21"/>
    <w:rsid w:val="43B3461E"/>
    <w:rsid w:val="4409502C"/>
    <w:rsid w:val="440A08B0"/>
    <w:rsid w:val="44146C41"/>
    <w:rsid w:val="442B2FE3"/>
    <w:rsid w:val="44D84400"/>
    <w:rsid w:val="44E32791"/>
    <w:rsid w:val="44F92736"/>
    <w:rsid w:val="44FE1514"/>
    <w:rsid w:val="452E518F"/>
    <w:rsid w:val="452F4E0F"/>
    <w:rsid w:val="45493CCA"/>
    <w:rsid w:val="456552E9"/>
    <w:rsid w:val="456F5BF8"/>
    <w:rsid w:val="4585361F"/>
    <w:rsid w:val="4586581D"/>
    <w:rsid w:val="4587329F"/>
    <w:rsid w:val="459B1F40"/>
    <w:rsid w:val="45FD4563"/>
    <w:rsid w:val="460728F4"/>
    <w:rsid w:val="46120628"/>
    <w:rsid w:val="463333B8"/>
    <w:rsid w:val="46336C3B"/>
    <w:rsid w:val="465F0D84"/>
    <w:rsid w:val="46691693"/>
    <w:rsid w:val="46DC154C"/>
    <w:rsid w:val="46EB2B66"/>
    <w:rsid w:val="47423575"/>
    <w:rsid w:val="4764152B"/>
    <w:rsid w:val="47BB79BB"/>
    <w:rsid w:val="47DA0270"/>
    <w:rsid w:val="480D1AA5"/>
    <w:rsid w:val="4826706B"/>
    <w:rsid w:val="483D5387"/>
    <w:rsid w:val="48690DD9"/>
    <w:rsid w:val="4888168E"/>
    <w:rsid w:val="48C26E53"/>
    <w:rsid w:val="48C920F7"/>
    <w:rsid w:val="48F467BF"/>
    <w:rsid w:val="48F5643E"/>
    <w:rsid w:val="49121A25"/>
    <w:rsid w:val="492A0E97"/>
    <w:rsid w:val="492B471A"/>
    <w:rsid w:val="49626DF3"/>
    <w:rsid w:val="496C5184"/>
    <w:rsid w:val="49773515"/>
    <w:rsid w:val="49822BAA"/>
    <w:rsid w:val="49B83F7E"/>
    <w:rsid w:val="49D97D36"/>
    <w:rsid w:val="49E4194A"/>
    <w:rsid w:val="49ED225A"/>
    <w:rsid w:val="4A0F0210"/>
    <w:rsid w:val="4A1A079F"/>
    <w:rsid w:val="4A244932"/>
    <w:rsid w:val="4A500C79"/>
    <w:rsid w:val="4A5B700A"/>
    <w:rsid w:val="4ADC40E1"/>
    <w:rsid w:val="4AFE2097"/>
    <w:rsid w:val="4B1367B9"/>
    <w:rsid w:val="4B1E4B4A"/>
    <w:rsid w:val="4B547222"/>
    <w:rsid w:val="4BA17322"/>
    <w:rsid w:val="4BB61845"/>
    <w:rsid w:val="4BC15658"/>
    <w:rsid w:val="4BC9374A"/>
    <w:rsid w:val="4C0360C1"/>
    <w:rsid w:val="4C4423AE"/>
    <w:rsid w:val="4C632C63"/>
    <w:rsid w:val="4C6E0FF4"/>
    <w:rsid w:val="4C787385"/>
    <w:rsid w:val="4CCA607B"/>
    <w:rsid w:val="4CDB5DA5"/>
    <w:rsid w:val="4CE679B9"/>
    <w:rsid w:val="4D077EEE"/>
    <w:rsid w:val="4D2607A2"/>
    <w:rsid w:val="4D280422"/>
    <w:rsid w:val="4D3E5E49"/>
    <w:rsid w:val="4D8F3FD8"/>
    <w:rsid w:val="4D935553"/>
    <w:rsid w:val="4D940DD6"/>
    <w:rsid w:val="4DAA76F7"/>
    <w:rsid w:val="4DEB39E3"/>
    <w:rsid w:val="4E574397"/>
    <w:rsid w:val="4E8406DF"/>
    <w:rsid w:val="4EC436C7"/>
    <w:rsid w:val="4EDA586A"/>
    <w:rsid w:val="4EF9611F"/>
    <w:rsid w:val="4F252466"/>
    <w:rsid w:val="4F37379E"/>
    <w:rsid w:val="4F506B2E"/>
    <w:rsid w:val="4F714AE4"/>
    <w:rsid w:val="4F871206"/>
    <w:rsid w:val="4F912E1A"/>
    <w:rsid w:val="4F9C11AB"/>
    <w:rsid w:val="4FA61409"/>
    <w:rsid w:val="4FBE1360"/>
    <w:rsid w:val="4FC854F3"/>
    <w:rsid w:val="4FD33884"/>
    <w:rsid w:val="4FD41305"/>
    <w:rsid w:val="4FDE7696"/>
    <w:rsid w:val="4FF17EF4"/>
    <w:rsid w:val="50385B68"/>
    <w:rsid w:val="506C277D"/>
    <w:rsid w:val="508D0734"/>
    <w:rsid w:val="50C20F8E"/>
    <w:rsid w:val="50C2570B"/>
    <w:rsid w:val="50E23A41"/>
    <w:rsid w:val="50E336C1"/>
    <w:rsid w:val="51063B27"/>
    <w:rsid w:val="5119199D"/>
    <w:rsid w:val="514F07F2"/>
    <w:rsid w:val="515F5A90"/>
    <w:rsid w:val="516F6B28"/>
    <w:rsid w:val="518F4E5F"/>
    <w:rsid w:val="51C67537"/>
    <w:rsid w:val="51D13349"/>
    <w:rsid w:val="52077FA0"/>
    <w:rsid w:val="52121BB5"/>
    <w:rsid w:val="52B54C41"/>
    <w:rsid w:val="52D576F4"/>
    <w:rsid w:val="52EB3A96"/>
    <w:rsid w:val="530B1DCC"/>
    <w:rsid w:val="532B0103"/>
    <w:rsid w:val="53383B95"/>
    <w:rsid w:val="53F16BC7"/>
    <w:rsid w:val="53FA3C53"/>
    <w:rsid w:val="54267F9B"/>
    <w:rsid w:val="54684287"/>
    <w:rsid w:val="547E642B"/>
    <w:rsid w:val="549A5EE9"/>
    <w:rsid w:val="54AA2BA1"/>
    <w:rsid w:val="54DF2FCC"/>
    <w:rsid w:val="55145A25"/>
    <w:rsid w:val="551556A5"/>
    <w:rsid w:val="55563F10"/>
    <w:rsid w:val="5557610E"/>
    <w:rsid w:val="55CD4E53"/>
    <w:rsid w:val="55D831E4"/>
    <w:rsid w:val="55ED318A"/>
    <w:rsid w:val="561B4F52"/>
    <w:rsid w:val="564F1F29"/>
    <w:rsid w:val="565079AB"/>
    <w:rsid w:val="565A5D3C"/>
    <w:rsid w:val="5670465C"/>
    <w:rsid w:val="56AA5F00"/>
    <w:rsid w:val="56BC6CDA"/>
    <w:rsid w:val="56C4574F"/>
    <w:rsid w:val="56D133FC"/>
    <w:rsid w:val="57081358"/>
    <w:rsid w:val="574A1DC1"/>
    <w:rsid w:val="577F481A"/>
    <w:rsid w:val="5796443F"/>
    <w:rsid w:val="57A027D0"/>
    <w:rsid w:val="57A45FD1"/>
    <w:rsid w:val="57AB0B61"/>
    <w:rsid w:val="57ED4E4E"/>
    <w:rsid w:val="58021570"/>
    <w:rsid w:val="58591F7E"/>
    <w:rsid w:val="58A600B4"/>
    <w:rsid w:val="591B3341"/>
    <w:rsid w:val="593276E3"/>
    <w:rsid w:val="59487688"/>
    <w:rsid w:val="59537C18"/>
    <w:rsid w:val="59687BBD"/>
    <w:rsid w:val="596F44B8"/>
    <w:rsid w:val="59883525"/>
    <w:rsid w:val="59A92BA5"/>
    <w:rsid w:val="59F50AA6"/>
    <w:rsid w:val="5A1631D9"/>
    <w:rsid w:val="5A404EEC"/>
    <w:rsid w:val="5A4D36B3"/>
    <w:rsid w:val="5A615BD7"/>
    <w:rsid w:val="5A6D3BE8"/>
    <w:rsid w:val="5A8D1F1E"/>
    <w:rsid w:val="5AC445F6"/>
    <w:rsid w:val="5ACF2987"/>
    <w:rsid w:val="5AE470AA"/>
    <w:rsid w:val="5B1A7584"/>
    <w:rsid w:val="5B490AD6"/>
    <w:rsid w:val="5B705D94"/>
    <w:rsid w:val="5B9C20DB"/>
    <w:rsid w:val="5BB167FD"/>
    <w:rsid w:val="5BB3647D"/>
    <w:rsid w:val="5BC86423"/>
    <w:rsid w:val="5BDE05C6"/>
    <w:rsid w:val="5BFD0E7B"/>
    <w:rsid w:val="5C1F6E31"/>
    <w:rsid w:val="5C201030"/>
    <w:rsid w:val="5C513C06"/>
    <w:rsid w:val="5C6B5C2C"/>
    <w:rsid w:val="5C7752C2"/>
    <w:rsid w:val="5C7C6ED6"/>
    <w:rsid w:val="5CB702A9"/>
    <w:rsid w:val="5CCC024F"/>
    <w:rsid w:val="5CD765E0"/>
    <w:rsid w:val="5CE24971"/>
    <w:rsid w:val="5D5071A3"/>
    <w:rsid w:val="5DD14279"/>
    <w:rsid w:val="5DDB4B89"/>
    <w:rsid w:val="5E070ED0"/>
    <w:rsid w:val="5E731884"/>
    <w:rsid w:val="5ECA2293"/>
    <w:rsid w:val="5EF665DA"/>
    <w:rsid w:val="5F0C077E"/>
    <w:rsid w:val="5F212CA2"/>
    <w:rsid w:val="5F2B1033"/>
    <w:rsid w:val="5F387044"/>
    <w:rsid w:val="5F62370B"/>
    <w:rsid w:val="5F6D1A9C"/>
    <w:rsid w:val="5F7836B0"/>
    <w:rsid w:val="5FB9411A"/>
    <w:rsid w:val="5FE307E1"/>
    <w:rsid w:val="5FFA0406"/>
    <w:rsid w:val="5FFA4B83"/>
    <w:rsid w:val="601C2B39"/>
    <w:rsid w:val="60510E15"/>
    <w:rsid w:val="60665537"/>
    <w:rsid w:val="60672FB9"/>
    <w:rsid w:val="609D7C10"/>
    <w:rsid w:val="60B35636"/>
    <w:rsid w:val="60BD5F46"/>
    <w:rsid w:val="60C842D7"/>
    <w:rsid w:val="60D744B8"/>
    <w:rsid w:val="60DE0679"/>
    <w:rsid w:val="610A27C2"/>
    <w:rsid w:val="61146955"/>
    <w:rsid w:val="61402C9C"/>
    <w:rsid w:val="617556F4"/>
    <w:rsid w:val="622403F1"/>
    <w:rsid w:val="62441245"/>
    <w:rsid w:val="62654FFD"/>
    <w:rsid w:val="627C4C22"/>
    <w:rsid w:val="62D1432C"/>
    <w:rsid w:val="62D21DAE"/>
    <w:rsid w:val="63284D3B"/>
    <w:rsid w:val="634B0772"/>
    <w:rsid w:val="637F0FCD"/>
    <w:rsid w:val="63F21A12"/>
    <w:rsid w:val="63F7410E"/>
    <w:rsid w:val="64172445"/>
    <w:rsid w:val="64176BC2"/>
    <w:rsid w:val="643D3345"/>
    <w:rsid w:val="644C4E9D"/>
    <w:rsid w:val="64A73402"/>
    <w:rsid w:val="64C47FDF"/>
    <w:rsid w:val="64FD39BC"/>
    <w:rsid w:val="65310993"/>
    <w:rsid w:val="65724C80"/>
    <w:rsid w:val="65886E23"/>
    <w:rsid w:val="65B456E9"/>
    <w:rsid w:val="65D43A20"/>
    <w:rsid w:val="65DF7832"/>
    <w:rsid w:val="65FC7F22"/>
    <w:rsid w:val="661F281A"/>
    <w:rsid w:val="66564EF2"/>
    <w:rsid w:val="66A27570"/>
    <w:rsid w:val="67046310"/>
    <w:rsid w:val="679C7788"/>
    <w:rsid w:val="67D234E5"/>
    <w:rsid w:val="67F33A1A"/>
    <w:rsid w:val="681364CD"/>
    <w:rsid w:val="684A4429"/>
    <w:rsid w:val="68B83318"/>
    <w:rsid w:val="69187F79"/>
    <w:rsid w:val="6923630A"/>
    <w:rsid w:val="692E211D"/>
    <w:rsid w:val="698450AA"/>
    <w:rsid w:val="698F6CBE"/>
    <w:rsid w:val="69D01878"/>
    <w:rsid w:val="69D07728"/>
    <w:rsid w:val="6A321D4B"/>
    <w:rsid w:val="6A3264C7"/>
    <w:rsid w:val="6A3C4858"/>
    <w:rsid w:val="6AA9520C"/>
    <w:rsid w:val="6AAA4E8C"/>
    <w:rsid w:val="6AD51554"/>
    <w:rsid w:val="6B2C79E4"/>
    <w:rsid w:val="6B3602F4"/>
    <w:rsid w:val="6B7845E0"/>
    <w:rsid w:val="6B8D791B"/>
    <w:rsid w:val="6B8E6784"/>
    <w:rsid w:val="6BAE6CB9"/>
    <w:rsid w:val="6BC333DB"/>
    <w:rsid w:val="6BFA5AB3"/>
    <w:rsid w:val="6C105A58"/>
    <w:rsid w:val="6C264CF2"/>
    <w:rsid w:val="6C475BB2"/>
    <w:rsid w:val="6C7727EE"/>
    <w:rsid w:val="6C7D060B"/>
    <w:rsid w:val="6C87087B"/>
    <w:rsid w:val="6C9D0B3F"/>
    <w:rsid w:val="6CC85207"/>
    <w:rsid w:val="6CDE15A9"/>
    <w:rsid w:val="6D4C79DE"/>
    <w:rsid w:val="6DA1296C"/>
    <w:rsid w:val="6DC22EA0"/>
    <w:rsid w:val="6DD85044"/>
    <w:rsid w:val="6E25131E"/>
    <w:rsid w:val="6E393DE4"/>
    <w:rsid w:val="6E4F3D89"/>
    <w:rsid w:val="6E9047F2"/>
    <w:rsid w:val="6ED2525C"/>
    <w:rsid w:val="6EDC35ED"/>
    <w:rsid w:val="6EF21014"/>
    <w:rsid w:val="6EF23592"/>
    <w:rsid w:val="6EFC51A7"/>
    <w:rsid w:val="6F333FFC"/>
    <w:rsid w:val="6F3E5C10"/>
    <w:rsid w:val="6F483FA1"/>
    <w:rsid w:val="6F7F6679"/>
    <w:rsid w:val="6F8B5D0F"/>
    <w:rsid w:val="6FAA2D41"/>
    <w:rsid w:val="6FCA1077"/>
    <w:rsid w:val="6FE05419"/>
    <w:rsid w:val="6FE12E9B"/>
    <w:rsid w:val="70241EF7"/>
    <w:rsid w:val="70427A3C"/>
    <w:rsid w:val="706E0500"/>
    <w:rsid w:val="708304A5"/>
    <w:rsid w:val="70AE4B6D"/>
    <w:rsid w:val="71263532"/>
    <w:rsid w:val="71267CAF"/>
    <w:rsid w:val="71A87053"/>
    <w:rsid w:val="71DE2CE0"/>
    <w:rsid w:val="71E91071"/>
    <w:rsid w:val="722A1ADB"/>
    <w:rsid w:val="722B755C"/>
    <w:rsid w:val="72601FB5"/>
    <w:rsid w:val="726141B3"/>
    <w:rsid w:val="72CD4B67"/>
    <w:rsid w:val="73303587"/>
    <w:rsid w:val="735B7C4E"/>
    <w:rsid w:val="73651863"/>
    <w:rsid w:val="739C06B8"/>
    <w:rsid w:val="73DC4D25"/>
    <w:rsid w:val="7408106C"/>
    <w:rsid w:val="748B700A"/>
    <w:rsid w:val="74964153"/>
    <w:rsid w:val="74CD42AD"/>
    <w:rsid w:val="74D74BBC"/>
    <w:rsid w:val="74EC084E"/>
    <w:rsid w:val="75011284"/>
    <w:rsid w:val="7523723A"/>
    <w:rsid w:val="7538395C"/>
    <w:rsid w:val="753A1D06"/>
    <w:rsid w:val="754E3901"/>
    <w:rsid w:val="756F76B9"/>
    <w:rsid w:val="75845FDA"/>
    <w:rsid w:val="759926FC"/>
    <w:rsid w:val="75CF09D8"/>
    <w:rsid w:val="75DA47EA"/>
    <w:rsid w:val="75DB69E8"/>
    <w:rsid w:val="75F1698E"/>
    <w:rsid w:val="76072D30"/>
    <w:rsid w:val="770B4B5C"/>
    <w:rsid w:val="776158EB"/>
    <w:rsid w:val="778E6C14"/>
    <w:rsid w:val="77A26354"/>
    <w:rsid w:val="77B95F79"/>
    <w:rsid w:val="77C4430A"/>
    <w:rsid w:val="783A3050"/>
    <w:rsid w:val="784513E1"/>
    <w:rsid w:val="78711EA5"/>
    <w:rsid w:val="787B48AE"/>
    <w:rsid w:val="787C0501"/>
    <w:rsid w:val="787D153B"/>
    <w:rsid w:val="789D7871"/>
    <w:rsid w:val="78A60180"/>
    <w:rsid w:val="79096BA0"/>
    <w:rsid w:val="79187CFE"/>
    <w:rsid w:val="79ED2696"/>
    <w:rsid w:val="7A506EB7"/>
    <w:rsid w:val="7A6413DB"/>
    <w:rsid w:val="7A6E38A0"/>
    <w:rsid w:val="7A79662E"/>
    <w:rsid w:val="7A9D67A7"/>
    <w:rsid w:val="7AB03A59"/>
    <w:rsid w:val="7AE83BB3"/>
    <w:rsid w:val="7B070BE4"/>
    <w:rsid w:val="7B074467"/>
    <w:rsid w:val="7B690C89"/>
    <w:rsid w:val="7B7F75A9"/>
    <w:rsid w:val="7BAA3C71"/>
    <w:rsid w:val="7BAE62A6"/>
    <w:rsid w:val="7BD40338"/>
    <w:rsid w:val="7BF662EE"/>
    <w:rsid w:val="7C0B2A10"/>
    <w:rsid w:val="7C6347E5"/>
    <w:rsid w:val="7C985AF7"/>
    <w:rsid w:val="7CB83E2E"/>
    <w:rsid w:val="7CB918AF"/>
    <w:rsid w:val="7CEF1D89"/>
    <w:rsid w:val="7CFA011A"/>
    <w:rsid w:val="7D3B0B84"/>
    <w:rsid w:val="7D512D27"/>
    <w:rsid w:val="7D570460"/>
    <w:rsid w:val="7D937014"/>
    <w:rsid w:val="7DD47A7D"/>
    <w:rsid w:val="7DE91FA1"/>
    <w:rsid w:val="7E006343"/>
    <w:rsid w:val="7E013DC5"/>
    <w:rsid w:val="7E062FFE"/>
    <w:rsid w:val="7E6C6CF7"/>
    <w:rsid w:val="7E8C502E"/>
    <w:rsid w:val="7EAB7AE1"/>
    <w:rsid w:val="7EE221B9"/>
    <w:rsid w:val="7EE37C3B"/>
    <w:rsid w:val="7F392BC8"/>
    <w:rsid w:val="7F7052A0"/>
    <w:rsid w:val="7FA83E85"/>
    <w:rsid w:val="7FBD539F"/>
    <w:rsid w:val="7FC71532"/>
    <w:rsid w:val="7FDC5C54"/>
    <w:rsid w:val="7FDD7E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uiPriority w:val="9"/>
    <w:qFormat/>
    <w:pPr>
      <w:keepNext/>
      <w:keepLines/>
      <w:tabs>
        <w:tab w:val="left" w:pos="0"/>
      </w:tabs>
      <w:jc w:val="left"/>
      <w:outlineLvl w:val="2"/>
    </w:pPr>
    <w:rPr>
      <w:rFonts w:ascii="黑体" w:hAnsi="黑体" w:cs="黑体"/>
      <w:b/>
      <w:szCs w:val="3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Char">
    <w:name w:val="批注框文本 Char"/>
    <w:basedOn w:val="a0"/>
    <w:link w:val="a4"/>
    <w:uiPriority w:val="99"/>
    <w:semiHidden/>
    <w:rPr>
      <w:sz w:val="18"/>
      <w:szCs w:val="18"/>
    </w:rPr>
  </w:style>
  <w:style w:type="character" w:customStyle="1" w:styleId="1Char">
    <w:name w:val="标题 1 Char"/>
    <w:basedOn w:val="a0"/>
    <w:link w:val="1"/>
    <w:uiPriority w:val="9"/>
    <w:rPr>
      <w:b/>
      <w:bCs/>
      <w:kern w:val="44"/>
      <w:sz w:val="44"/>
      <w:szCs w:val="44"/>
    </w:rPr>
  </w:style>
  <w:style w:type="character" w:customStyle="1" w:styleId="Char0">
    <w:name w:val="页脚 Char"/>
    <w:basedOn w:val="a0"/>
    <w:link w:val="a5"/>
    <w:uiPriority w:val="99"/>
    <w:rPr>
      <w:kern w:val="2"/>
      <w:sz w:val="18"/>
      <w:szCs w:val="18"/>
    </w:rPr>
  </w:style>
  <w:style w:type="character" w:customStyle="1" w:styleId="Char1">
    <w:name w:val="页眉 Char"/>
    <w:basedOn w:val="a0"/>
    <w:link w:val="a6"/>
    <w:uiPriority w:val="99"/>
    <w:rPr>
      <w:kern w:val="2"/>
      <w:sz w:val="18"/>
      <w:szCs w:val="18"/>
    </w:rPr>
  </w:style>
  <w:style w:type="paragraph" w:styleId="10">
    <w:name w:val="toc 1"/>
    <w:basedOn w:val="a"/>
    <w:next w:val="a"/>
    <w:uiPriority w:val="39"/>
    <w:unhideWhenUsed/>
    <w:qFormat/>
    <w:pPr>
      <w:widowControl/>
      <w:spacing w:after="100" w:line="276" w:lineRule="auto"/>
      <w:jc w:val="left"/>
    </w:pPr>
    <w:rPr>
      <w:rFonts w:ascii="Calibri" w:hAnsi="Calibri"/>
      <w:kern w:val="0"/>
      <w:sz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rPr>
  </w:style>
  <w:style w:type="paragraph" w:styleId="a7">
    <w:name w:val="caption"/>
    <w:basedOn w:val="a"/>
    <w:next w:val="a"/>
    <w:uiPriority w:val="35"/>
    <w:qFormat/>
    <w:pPr>
      <w:ind w:left="420"/>
      <w:jc w:val="center"/>
    </w:pPr>
    <w:rPr>
      <w:rFonts w:ascii="Calibri" w:eastAsia="Calibri" w:hAnsi="Calibri"/>
      <w:b/>
      <w:sz w:val="18"/>
      <w:szCs w:val="18"/>
    </w:rPr>
  </w:style>
  <w:style w:type="paragraph" w:styleId="a4">
    <w:name w:val="Balloon Text"/>
    <w:basedOn w:val="a"/>
    <w:link w:val="Char"/>
    <w:uiPriority w:val="99"/>
    <w:unhideWhenUsed/>
    <w:rPr>
      <w:sz w:val="18"/>
      <w:szCs w:val="18"/>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2">
    <w:name w:val="toc 2"/>
    <w:basedOn w:val="a"/>
    <w:next w:val="a"/>
    <w:uiPriority w:val="39"/>
    <w:unhideWhenUsed/>
    <w:qFormat/>
    <w:pPr>
      <w:widowControl/>
      <w:spacing w:after="100" w:line="276" w:lineRule="auto"/>
      <w:ind w:left="220"/>
      <w:jc w:val="left"/>
    </w:pPr>
    <w:rPr>
      <w:rFonts w:ascii="Calibri" w:hAnsi="Calibri"/>
      <w:kern w:val="0"/>
      <w:sz w:val="22"/>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styleId="a8">
    <w:name w:val="List Paragraph"/>
    <w:basedOn w:val="a"/>
    <w:uiPriority w:val="34"/>
    <w:qFormat/>
    <w:pPr>
      <w:ind w:firstLineChars="200" w:firstLine="420"/>
    </w:pPr>
  </w:style>
  <w:style w:type="paragraph" w:customStyle="1" w:styleId="11">
    <w:name w:val="样式1"/>
    <w:basedOn w:val="a"/>
    <w:qFormat/>
    <w:rPr>
      <w:b/>
    </w:rPr>
  </w:style>
  <w:style w:type="table" w:styleId="a9">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浅色列表 - 强调文字颜色 11"/>
    <w:basedOn w:val="a1"/>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41">
    <w:name w:val="浅色列表 - 强调文字颜色 41"/>
    <w:basedOn w:val="a1"/>
    <w:uiPriority w:val="61"/>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Horz">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style>
  <w:style w:type="table" w:customStyle="1" w:styleId="-51">
    <w:name w:val="浅色网格 - 强调文字颜色 51"/>
    <w:basedOn w:val="a1"/>
    <w:uiPriority w:val="6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eastAsia="Tms Rm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eastAsia="Tms Rm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eastAsia="Tms Rmn" w:cs="Times New Roman"/>
        <w:b/>
        <w:bCs/>
      </w:rPr>
    </w:tblStylePr>
    <w:tblStylePr w:type="lastCol">
      <w:rPr>
        <w:rFonts w:eastAsia="Tms Rmn"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table" w:customStyle="1" w:styleId="-31">
    <w:name w:val="浅色列表 - 强调文字颜色 31"/>
    <w:basedOn w:val="a1"/>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
    <w:name w:val="浅色底纹1"/>
    <w:basedOn w:val="a1"/>
    <w:uiPriority w:val="60"/>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0">
    <w:name w:val="浅色底纹 - 强调文字颜色 11"/>
    <w:basedOn w:val="a1"/>
    <w:uiPriority w:val="60"/>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0.xml"/><Relationship Id="rId26" Type="http://schemas.openxmlformats.org/officeDocument/2006/relationships/oleObject" Target="embeddings/oleObject1.bin"/><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13.xml"/><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9.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Microsoft_Office_Excel_97-2003____1.xls"/><Relationship Id="rId20" Type="http://schemas.openxmlformats.org/officeDocument/2006/relationships/chart" Target="charts/chart12.xm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6.xml"/><Relationship Id="rId32" Type="http://schemas.openxmlformats.org/officeDocument/2006/relationships/oleObject" Target="embeddings/oleObject4.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chart" Target="charts/chart15.xm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chart" Target="charts/chart4.xml"/><Relationship Id="rId19" Type="http://schemas.openxmlformats.org/officeDocument/2006/relationships/chart" Target="charts/chart11.xm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4.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1508;&#23398;&#37096;&#27605;&#19994;&#29983;&#20998;&#24067;&#24773;&#2091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19981;&#21516;&#24615;&#21035;&#27605;&#19994;&#29983;&#30340;&#27605;&#19994;&#27969;&#215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1335;&#36890;&#22823;&#23398;&#26447;&#26519;&#23398;&#38498;\&#26032;&#24314;&#25991;&#20214;&#22841;\&#21333;&#20301;&#24615;&#36136;&#25512;&#33616;&#3492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1335;&#36890;&#22823;&#23398;&#26447;&#26519;&#23398;&#38498;\&#26032;&#24314;&#25991;&#20214;&#22841;\&#23601;&#19994;&#34892;&#19994;&#20998;&#24067;.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2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29992;&#20154;&#21333;&#20301;&#23545;&#27605;&#19994;&#29983;&#24635;&#20307;&#35780;&#2021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19978;&#21322;&#24180;\&#23601;&#19994;&#24037;&#20316;\2015&#23626;&#27605;&#19994;&#29983;\&#23601;&#19994;&#36136;&#37327;&#25253;&#21578;\&#65288;&#19977;&#65289;&#29992;&#20154;&#21333;&#20301;&#23545;&#27605;&#19994;&#29983;&#19987;&#19994;&#25216;&#33021;&#30340;&#35748;&#21487;&#2423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2015&#19978;&#21322;&#24180;\&#23601;&#19994;&#24037;&#20316;\2015&#23626;&#27605;&#19994;&#29983;\&#23601;&#19994;&#36136;&#37327;&#25253;&#21578;\2015&#23626;&#27605;&#19994;&#29983;&#30007;&#22899;&#29983;&#24615;&#21035;&#27604;&#2036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1508;&#23398;&#37096;&#23601;&#19994;&#29575;&#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1508;&#23398;&#37096;&#30007;&#22899;&#23601;&#19994;&#2957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5105;&#30340;&#24037;&#20316;&#36164;&#26009;\2015&#24180;&#24037;&#20316;&#36164;&#26009;\2015&#19978;&#21322;&#24180;\&#23601;&#19994;&#24037;&#20316;\2015&#23626;&#27605;&#19994;&#29983;\&#23601;&#19994;&#36136;&#37327;&#25253;&#21578;\&#27605;&#19994;&#29983;&#24635;&#20307;&#27605;&#19994;&#27969;&#215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1508;&#23398;&#37096;&#21333;&#20301;&#23601;&#19994;&#2957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1508;&#23398;&#37096;&#21319;&#23398;&#20986;&#22269;&#2957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1508;&#23398;&#37096;&#21319;&#23398;&#20986;&#22269;&#2957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5105;&#30340;&#24037;&#20316;&#36164;&#26009;\2016&#24180;&#24037;&#20316;&#36164;&#26009;\&#19978;&#21322;&#24180;\2016&#24180;&#23601;&#19994;&#36136;&#37327;&#32534;&#25253;\&#26032;&#24314;&#25991;&#20214;&#22841;\&#26410;&#23601;&#19994;&#29575;&#24773;&#209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8700000000000006"/>
          <c:y val="0.19475000000000001"/>
          <c:w val="0.37425000000000008"/>
          <c:h val="0.68375000000000019"/>
        </c:manualLayout>
      </c:layout>
      <c:pieChart>
        <c:varyColors val="1"/>
        <c:ser>
          <c:idx val="0"/>
          <c:order val="0"/>
          <c:spPr>
            <a:solidFill>
              <a:srgbClr val="4F81BD"/>
            </a:solidFill>
            <a:effectLst/>
          </c:spPr>
          <c:explosion val="33"/>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Pt>
            <c:idx val="4"/>
            <c:spPr>
              <a:solidFill>
                <a:srgbClr val="4BACC6"/>
              </a:solidFill>
              <a:ln w="19050">
                <a:solidFill>
                  <a:srgbClr val="FFFFFF"/>
                </a:solidFill>
              </a:ln>
              <a:effectLst/>
            </c:spPr>
          </c:dPt>
          <c:dPt>
            <c:idx val="5"/>
            <c:spPr>
              <a:solidFill>
                <a:srgbClr val="F79646"/>
              </a:solidFill>
              <a:ln w="19050">
                <a:solidFill>
                  <a:srgbClr val="FFFFFF"/>
                </a:solidFill>
              </a:ln>
              <a:effectLst/>
            </c:spPr>
          </c:dPt>
          <c:dLbls>
            <c:dLbl>
              <c:idx val="0"/>
              <c:layout>
                <c:manualLayout>
                  <c:x val="-1.5515588283903902E-2"/>
                  <c:y val="-3.4251787651846111E-2"/>
                </c:manualLayout>
              </c:layout>
              <c:tx>
                <c:rich>
                  <a:bodyPr rot="0" spcFirstLastPara="0"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15.85%</a:t>
                    </a: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（313人）</a:t>
                    </a:r>
                  </a:p>
                </c:rich>
              </c:tx>
              <c:spPr>
                <a:noFill/>
                <a:ln>
                  <a:noFill/>
                </a:ln>
                <a:effectLst/>
              </c:spPr>
              <c:dLblPos val="bestFit"/>
              <c:showVal val="1"/>
              <c:showPercent val="1"/>
              <c:extLst>
                <c:ext xmlns:c15="http://schemas.microsoft.com/office/drawing/2012/chart" uri="{CE6537A1-D6FC-4f65-9D91-7224C49458BB}">
                  <c15:layout/>
                </c:ext>
              </c:extLst>
            </c:dLbl>
            <c:dLbl>
              <c:idx val="1"/>
              <c:tx>
                <c:rich>
                  <a:bodyPr rot="0" spcFirstLastPara="0"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5.82%</a:t>
                    </a: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（115人）</a:t>
                    </a:r>
                  </a:p>
                </c:rich>
              </c:tx>
              <c:spPr>
                <a:noFill/>
                <a:ln>
                  <a:noFill/>
                </a:ln>
                <a:effectLst/>
              </c:spPr>
              <c:dLblPos val="outEnd"/>
              <c:showVal val="1"/>
              <c:showPercent val="1"/>
              <c:extLst>
                <c:ext xmlns:c15="http://schemas.microsoft.com/office/drawing/2012/chart" uri="{CE6537A1-D6FC-4f65-9D91-7224C49458BB}"/>
              </c:extLst>
            </c:dLbl>
            <c:dLbl>
              <c:idx val="2"/>
              <c:tx>
                <c:rich>
                  <a:bodyPr rot="0" spcFirstLastPara="0"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17.11%</a:t>
                    </a: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（338人）</a:t>
                    </a:r>
                  </a:p>
                </c:rich>
              </c:tx>
              <c:spPr>
                <a:noFill/>
                <a:ln>
                  <a:noFill/>
                </a:ln>
                <a:effectLst/>
              </c:spPr>
              <c:dLblPos val="outEnd"/>
              <c:showVal val="1"/>
              <c:showPercent val="1"/>
              <c:extLst>
                <c:ext xmlns:c15="http://schemas.microsoft.com/office/drawing/2012/chart" uri="{CE6537A1-D6FC-4f65-9D91-7224C49458BB}"/>
              </c:extLst>
            </c:dLbl>
            <c:dLbl>
              <c:idx val="3"/>
              <c:layout>
                <c:manualLayout>
                  <c:x val="5.5624350316801095E-2"/>
                  <c:y val="-0.13371286125618201"/>
                </c:manualLayout>
              </c:layout>
              <c:tx>
                <c:rich>
                  <a:bodyPr rot="0" spcFirstLastPara="0"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endParaRPr sz="900" b="0" i="0" u="none" strike="noStrike" kern="1200" cap="none" normalizeH="0" baseline="0">
                      <a:solidFill>
                        <a:srgbClr val="404040">
                          <a:lumMod val="75000"/>
                          <a:lumOff val="25000"/>
                        </a:srgbClr>
                      </a:solidFill>
                      <a:effectLst/>
                      <a:latin typeface="+mn-lt"/>
                      <a:ea typeface="+mn-ea"/>
                      <a:cs typeface="+mn-cs"/>
                    </a:endParaRP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11.65%</a:t>
                    </a: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（230人）</a:t>
                    </a:r>
                  </a:p>
                </c:rich>
              </c:tx>
              <c:spPr>
                <a:noFill/>
                <a:ln>
                  <a:noFill/>
                </a:ln>
                <a:effectLst/>
              </c:spPr>
              <c:dLblPos val="bestFit"/>
              <c:showVal val="1"/>
              <c:showPercent val="1"/>
              <c:extLst>
                <c:ext xmlns:c15="http://schemas.microsoft.com/office/drawing/2012/chart" uri="{CE6537A1-D6FC-4f65-9D91-7224C49458BB}">
                  <c15:layout/>
                </c:ext>
              </c:extLst>
            </c:dLbl>
            <c:dLbl>
              <c:idx val="4"/>
              <c:tx>
                <c:rich>
                  <a:bodyPr rot="0" spcFirstLastPara="0"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20.51%</a:t>
                    </a: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（405人）</a:t>
                    </a:r>
                  </a:p>
                  <a:p>
                    <a:pPr algn="ctr" defTabSz="914400">
                      <a:defRPr lang="zh-CN" sz="900" b="0" i="0" u="none" strike="noStrike" kern="1200" baseline="0">
                        <a:solidFill>
                          <a:srgbClr val="404040">
                            <a:lumMod val="75000"/>
                            <a:lumOff val="25000"/>
                          </a:srgbClr>
                        </a:solidFill>
                        <a:latin typeface="+mn-lt"/>
                        <a:ea typeface="+mn-ea"/>
                        <a:cs typeface="+mn-cs"/>
                      </a:defRPr>
                    </a:pPr>
                    <a:endParaRPr sz="900" b="0" i="0" u="none" strike="noStrike" kern="1200" cap="none" normalizeH="0" baseline="0">
                      <a:solidFill>
                        <a:srgbClr val="404040">
                          <a:lumMod val="75000"/>
                          <a:lumOff val="25000"/>
                        </a:srgbClr>
                      </a:solidFill>
                      <a:effectLst/>
                      <a:latin typeface="+mn-lt"/>
                      <a:ea typeface="+mn-ea"/>
                      <a:cs typeface="+mn-cs"/>
                    </a:endParaRPr>
                  </a:p>
                </c:rich>
              </c:tx>
              <c:spPr>
                <a:noFill/>
                <a:ln>
                  <a:noFill/>
                </a:ln>
                <a:effectLst/>
              </c:spPr>
              <c:dLblPos val="outEnd"/>
              <c:showVal val="1"/>
              <c:showPercent val="1"/>
              <c:extLst>
                <c:ext xmlns:c15="http://schemas.microsoft.com/office/drawing/2012/chart" uri="{CE6537A1-D6FC-4f65-9D91-7224C49458BB}"/>
              </c:extLst>
            </c:dLbl>
            <c:dLbl>
              <c:idx val="5"/>
              <c:tx>
                <c:rich>
                  <a:bodyPr rot="0" spcFirstLastPara="0"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29.06%</a:t>
                    </a:r>
                  </a:p>
                  <a:p>
                    <a:pPr algn="ctr" defTabSz="914400">
                      <a:defRPr lang="zh-CN" sz="900" b="0" i="0" u="none" strike="noStrike" kern="1200" baseline="0">
                        <a:solidFill>
                          <a:srgbClr val="404040">
                            <a:lumMod val="75000"/>
                            <a:lumOff val="25000"/>
                          </a:srgbClr>
                        </a:solidFill>
                        <a:latin typeface="+mn-lt"/>
                        <a:ea typeface="+mn-ea"/>
                        <a:cs typeface="+mn-cs"/>
                      </a:defRPr>
                    </a:pPr>
                    <a:r>
                      <a:rPr sz="900" b="0" i="0" u="none" strike="noStrike" kern="1200" cap="none" normalizeH="0" baseline="0">
                        <a:solidFill>
                          <a:srgbClr val="404040">
                            <a:lumMod val="75000"/>
                            <a:lumOff val="25000"/>
                          </a:srgbClr>
                        </a:solidFill>
                        <a:effectLst/>
                        <a:latin typeface="+mn-lt"/>
                        <a:ea typeface="+mn-ea"/>
                        <a:cs typeface="+mn-cs"/>
                      </a:rPr>
                      <a:t>（574人）</a:t>
                    </a:r>
                  </a:p>
                </c:rich>
              </c:tx>
              <c:spPr>
                <a:noFill/>
                <a:ln>
                  <a:noFill/>
                </a:ln>
                <a:effectLst/>
              </c:spPr>
              <c:dLblPos val="outEnd"/>
              <c:showVal val="1"/>
              <c:showPercent val="1"/>
              <c:extLst>
                <c:ext xmlns:c15="http://schemas.microsoft.com/office/drawing/2012/chart" uri="{CE6537A1-D6FC-4f65-9D91-7224C49458BB}"/>
              </c:extLst>
            </c:dLbl>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showPercent val="1"/>
            <c:extLst>
              <c:ext xmlns:c15="http://schemas.microsoft.com/office/drawing/2012/chart" uri="{CE6537A1-D6FC-4f65-9D91-7224C49458BB}">
                <c15:layout/>
                <c15:showLeaderLines val="0"/>
                <c15:leaderLines/>
              </c:ext>
            </c:extLst>
          </c:dLbls>
          <c:cat>
            <c:strRef>
              <c:f>[各学部毕业生分布情况.xls]Sheet1!$B$3:$B$9</c:f>
              <c:strCache>
                <c:ptCount val="7"/>
                <c:pt idx="0">
                  <c:v>人文学部</c:v>
                </c:pt>
                <c:pt idx="1">
                  <c:v>理学部</c:v>
                </c:pt>
                <c:pt idx="2">
                  <c:v>经济与管理学部</c:v>
                </c:pt>
                <c:pt idx="3">
                  <c:v>信息科学部</c:v>
                </c:pt>
                <c:pt idx="4">
                  <c:v>工程学部</c:v>
                </c:pt>
                <c:pt idx="5">
                  <c:v>医学部（四）</c:v>
                </c:pt>
                <c:pt idx="6">
                  <c:v>医学部（五）</c:v>
                </c:pt>
              </c:strCache>
            </c:strRef>
          </c:cat>
          <c:val>
            <c:numRef>
              <c:f>[各学部毕业生分布情况.xls]Sheet1!$C$3:$C$9</c:f>
              <c:numCache>
                <c:formatCode>General</c:formatCode>
                <c:ptCount val="7"/>
                <c:pt idx="0">
                  <c:v>279</c:v>
                </c:pt>
                <c:pt idx="1">
                  <c:v>125</c:v>
                </c:pt>
                <c:pt idx="2">
                  <c:v>273</c:v>
                </c:pt>
                <c:pt idx="3">
                  <c:v>243</c:v>
                </c:pt>
                <c:pt idx="4">
                  <c:v>408</c:v>
                </c:pt>
                <c:pt idx="5">
                  <c:v>210</c:v>
                </c:pt>
                <c:pt idx="6">
                  <c:v>316</c:v>
                </c:pt>
              </c:numCache>
            </c:numRef>
          </c:val>
        </c:ser>
        <c:firstSliceAng val="0"/>
      </c:pieChart>
      <c:spPr>
        <a:noFill/>
        <a:ln>
          <a:noFill/>
        </a:ln>
        <a:effectLst/>
      </c:spPr>
    </c:plotArea>
    <c:legend>
      <c:legendPos val="r"/>
      <c:spPr>
        <a:noFill/>
        <a:ln>
          <a:noFill/>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kern="1200">
          <a:solidFill>
            <a:srgbClr val="000000"/>
          </a:solidFill>
          <a:latin typeface="+mn-lt"/>
          <a:ea typeface="+mn-ea"/>
          <a:cs typeface="+mn-cs"/>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[不同性别毕业生的毕业流向.xls]Sheet1!$B$4</c:f>
              <c:strCache>
                <c:ptCount val="1"/>
                <c:pt idx="0">
                  <c:v>女</c:v>
                </c:pt>
              </c:strCache>
            </c:strRef>
          </c:tx>
          <c:spPr>
            <a:solidFill>
              <a:srgbClr val="4F81BD"/>
            </a:solidFill>
            <a:ln>
              <a:noFill/>
            </a:ln>
            <a:effectLst/>
          </c:spPr>
          <c:cat>
            <c:strRef>
              <c:f>[不同性别毕业生的毕业流向.xls]Sheet1!$C$3:$F$3</c:f>
              <c:strCache>
                <c:ptCount val="4"/>
                <c:pt idx="0">
                  <c:v>单位就业率</c:v>
                </c:pt>
                <c:pt idx="1">
                  <c:v>升学出国率</c:v>
                </c:pt>
                <c:pt idx="2">
                  <c:v>灵活就业率</c:v>
                </c:pt>
                <c:pt idx="3">
                  <c:v>未就业率</c:v>
                </c:pt>
              </c:strCache>
            </c:strRef>
          </c:cat>
          <c:val>
            <c:numRef>
              <c:f>[不同性别毕业生的毕业流向.xls]Sheet1!$C$4:$F$4</c:f>
              <c:numCache>
                <c:formatCode>0.00%</c:formatCode>
                <c:ptCount val="4"/>
                <c:pt idx="0">
                  <c:v>0.92880000000000018</c:v>
                </c:pt>
                <c:pt idx="1">
                  <c:v>2.4000000000000007E-2</c:v>
                </c:pt>
                <c:pt idx="2">
                  <c:v>3.6500000000000005E-2</c:v>
                </c:pt>
                <c:pt idx="3">
                  <c:v>1.0700000000000005E-2</c:v>
                </c:pt>
              </c:numCache>
            </c:numRef>
          </c:val>
        </c:ser>
        <c:ser>
          <c:idx val="1"/>
          <c:order val="1"/>
          <c:tx>
            <c:strRef>
              <c:f>[不同性别毕业生的毕业流向.xls]Sheet1!$B$5</c:f>
              <c:strCache>
                <c:ptCount val="1"/>
                <c:pt idx="0">
                  <c:v>男</c:v>
                </c:pt>
              </c:strCache>
            </c:strRef>
          </c:tx>
          <c:spPr>
            <a:solidFill>
              <a:srgbClr val="C0504D"/>
            </a:solidFill>
            <a:ln>
              <a:noFill/>
            </a:ln>
            <a:effectLst/>
          </c:spPr>
          <c:cat>
            <c:strRef>
              <c:f>[不同性别毕业生的毕业流向.xls]Sheet1!$C$3:$F$3</c:f>
              <c:strCache>
                <c:ptCount val="4"/>
                <c:pt idx="0">
                  <c:v>单位就业率</c:v>
                </c:pt>
                <c:pt idx="1">
                  <c:v>升学出国率</c:v>
                </c:pt>
                <c:pt idx="2">
                  <c:v>灵活就业率</c:v>
                </c:pt>
                <c:pt idx="3">
                  <c:v>未就业率</c:v>
                </c:pt>
              </c:strCache>
            </c:strRef>
          </c:cat>
          <c:val>
            <c:numRef>
              <c:f>[不同性别毕业生的毕业流向.xls]Sheet1!$C$5:$F$5</c:f>
              <c:numCache>
                <c:formatCode>0.00%</c:formatCode>
                <c:ptCount val="4"/>
                <c:pt idx="0">
                  <c:v>0.9042</c:v>
                </c:pt>
                <c:pt idx="1">
                  <c:v>3.5600000000000014E-2</c:v>
                </c:pt>
                <c:pt idx="2">
                  <c:v>3.0100000000000002E-2</c:v>
                </c:pt>
                <c:pt idx="3">
                  <c:v>3.0100000000000002E-2</c:v>
                </c:pt>
              </c:numCache>
            </c:numRef>
          </c:val>
        </c:ser>
        <c:axId val="87732608"/>
        <c:axId val="87734144"/>
      </c:barChart>
      <c:catAx>
        <c:axId val="87732608"/>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734144"/>
        <c:crosses val="autoZero"/>
        <c:auto val="1"/>
        <c:lblAlgn val="ctr"/>
        <c:lblOffset val="100"/>
      </c:catAx>
      <c:valAx>
        <c:axId val="87734144"/>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732608"/>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spPr>
            <a:solidFill>
              <a:srgbClr val="376092">
                <a:lumMod val="75000"/>
              </a:srgbClr>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[单位性质推荐表.xls]Sheet2!$E$12:$E$18</c:f>
              <c:strCache>
                <c:ptCount val="7"/>
                <c:pt idx="0">
                  <c:v>国有及集团企业</c:v>
                </c:pt>
                <c:pt idx="1">
                  <c:v>民营企业</c:v>
                </c:pt>
                <c:pt idx="2">
                  <c:v>港澳台及外资企业</c:v>
                </c:pt>
                <c:pt idx="3">
                  <c:v>医疗卫生单位</c:v>
                </c:pt>
                <c:pt idx="4">
                  <c:v>国家、地方基层组织</c:v>
                </c:pt>
                <c:pt idx="5">
                  <c:v>非营利组织</c:v>
                </c:pt>
                <c:pt idx="6">
                  <c:v>机关、中初等教育</c:v>
                </c:pt>
              </c:strCache>
            </c:strRef>
          </c:cat>
          <c:val>
            <c:numRef>
              <c:f>[单位性质推荐表.xls]Sheet2!$F$12:$F$18</c:f>
              <c:numCache>
                <c:formatCode>0.00%</c:formatCode>
                <c:ptCount val="7"/>
                <c:pt idx="0">
                  <c:v>5.0000000000000018E-3</c:v>
                </c:pt>
                <c:pt idx="1">
                  <c:v>0.69090000000000018</c:v>
                </c:pt>
                <c:pt idx="2">
                  <c:v>3.3000000000000002E-2</c:v>
                </c:pt>
                <c:pt idx="3">
                  <c:v>0.22</c:v>
                </c:pt>
                <c:pt idx="4">
                  <c:v>1.6000000000000005E-3</c:v>
                </c:pt>
                <c:pt idx="5">
                  <c:v>3.6800000000000013E-2</c:v>
                </c:pt>
                <c:pt idx="6">
                  <c:v>5.5000000000000014E-3</c:v>
                </c:pt>
              </c:numCache>
            </c:numRef>
          </c:val>
        </c:ser>
        <c:dLbls>
          <c:showVal val="1"/>
        </c:dLbls>
        <c:gapWidth val="182"/>
        <c:axId val="88296064"/>
        <c:axId val="88301952"/>
      </c:barChart>
      <c:catAx>
        <c:axId val="88296064"/>
        <c:scaling>
          <c:orientation val="minMax"/>
        </c:scaling>
        <c:axPos val="l"/>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8301952"/>
        <c:crosses val="autoZero"/>
        <c:auto val="1"/>
        <c:lblAlgn val="ctr"/>
        <c:lblOffset val="100"/>
      </c:catAx>
      <c:valAx>
        <c:axId val="88301952"/>
        <c:scaling>
          <c:orientation val="minMax"/>
        </c:scaling>
        <c:delete val="1"/>
        <c:axPos val="b"/>
        <c:majorGridlines>
          <c:spPr>
            <a:ln w="9525" cap="flat" cmpd="sng" algn="ctr">
              <a:solidFill>
                <a:srgbClr val="D9D9D9">
                  <a:lumMod val="15000"/>
                  <a:lumOff val="85000"/>
                </a:srgbClr>
              </a:solidFill>
              <a:round/>
            </a:ln>
            <a:effectLst/>
          </c:spPr>
        </c:majorGridlines>
        <c:numFmt formatCode="0.00%" sourceLinked="1"/>
        <c:tickLblPos val="nextTo"/>
        <c:crossAx val="88296064"/>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spPr>
            <a:solidFill>
              <a:srgbClr val="4F81BD"/>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[就业行业分布.xls]Sheet2!$B$4:$B$22</c:f>
              <c:strCache>
                <c:ptCount val="19"/>
                <c:pt idx="0">
                  <c:v>采矿业</c:v>
                </c:pt>
                <c:pt idx="1">
                  <c:v>农、林、牧、渔业</c:v>
                </c:pt>
                <c:pt idx="2">
                  <c:v>水利、环境和公共设施管理业</c:v>
                </c:pt>
                <c:pt idx="3">
                  <c:v>房地产业</c:v>
                </c:pt>
                <c:pt idx="4">
                  <c:v>电力、热力、燃气及水生产和供应业</c:v>
                </c:pt>
                <c:pt idx="5">
                  <c:v>公共管理、社会保障和社会组织</c:v>
                </c:pt>
                <c:pt idx="6">
                  <c:v>交通运输、仓储和邮政业</c:v>
                </c:pt>
                <c:pt idx="7">
                  <c:v>科学研究和技术服务业</c:v>
                </c:pt>
                <c:pt idx="8">
                  <c:v>住宿和餐饮业</c:v>
                </c:pt>
                <c:pt idx="9">
                  <c:v>教育</c:v>
                </c:pt>
                <c:pt idx="10">
                  <c:v>金融业</c:v>
                </c:pt>
                <c:pt idx="11">
                  <c:v>建筑业</c:v>
                </c:pt>
                <c:pt idx="12">
                  <c:v>居民服务、修理和其他服务业</c:v>
                </c:pt>
                <c:pt idx="13">
                  <c:v>租赁和商务服务业</c:v>
                </c:pt>
                <c:pt idx="14">
                  <c:v>批发和零售业</c:v>
                </c:pt>
                <c:pt idx="15">
                  <c:v>文化、体育和娱乐业</c:v>
                </c:pt>
                <c:pt idx="16">
                  <c:v>信息传输、软件和信息技术服务业</c:v>
                </c:pt>
                <c:pt idx="17">
                  <c:v>制造业</c:v>
                </c:pt>
                <c:pt idx="18">
                  <c:v>卫生和社会工作</c:v>
                </c:pt>
              </c:strCache>
            </c:strRef>
          </c:cat>
          <c:val>
            <c:numRef>
              <c:f>[就业行业分布.xls]Sheet2!$D$4:$D$22</c:f>
              <c:numCache>
                <c:formatCode>0.00%</c:formatCode>
                <c:ptCount val="19"/>
                <c:pt idx="0">
                  <c:v>5.3937432578209316E-4</c:v>
                </c:pt>
                <c:pt idx="1">
                  <c:v>3.2362459546925611E-3</c:v>
                </c:pt>
                <c:pt idx="2">
                  <c:v>3.7756202804746512E-3</c:v>
                </c:pt>
                <c:pt idx="3">
                  <c:v>5.3937432578209325E-3</c:v>
                </c:pt>
                <c:pt idx="4">
                  <c:v>1.02481121898598E-2</c:v>
                </c:pt>
                <c:pt idx="5">
                  <c:v>1.02481121898598E-2</c:v>
                </c:pt>
                <c:pt idx="6">
                  <c:v>1.0787486515641898E-2</c:v>
                </c:pt>
                <c:pt idx="7">
                  <c:v>1.2944983818770203E-2</c:v>
                </c:pt>
                <c:pt idx="8">
                  <c:v>1.6720604099244901E-2</c:v>
                </c:pt>
                <c:pt idx="9">
                  <c:v>1.8338727076591198E-2</c:v>
                </c:pt>
                <c:pt idx="10">
                  <c:v>3.0204962243797207E-2</c:v>
                </c:pt>
                <c:pt idx="11">
                  <c:v>4.2071197411003222E-2</c:v>
                </c:pt>
                <c:pt idx="12">
                  <c:v>4.314994606256739E-2</c:v>
                </c:pt>
                <c:pt idx="13">
                  <c:v>4.9083063646170426E-2</c:v>
                </c:pt>
                <c:pt idx="14">
                  <c:v>5.2858683926645125E-2</c:v>
                </c:pt>
                <c:pt idx="15">
                  <c:v>5.7713052858683916E-2</c:v>
                </c:pt>
                <c:pt idx="16">
                  <c:v>9.7087378640776698E-2</c:v>
                </c:pt>
                <c:pt idx="17">
                  <c:v>0.21844660194174806</c:v>
                </c:pt>
                <c:pt idx="18">
                  <c:v>0.25674217907227609</c:v>
                </c:pt>
              </c:numCache>
            </c:numRef>
          </c:val>
        </c:ser>
        <c:dLbls>
          <c:showVal val="1"/>
        </c:dLbls>
        <c:gapWidth val="182"/>
        <c:axId val="88309120"/>
        <c:axId val="88335488"/>
      </c:barChart>
      <c:catAx>
        <c:axId val="88309120"/>
        <c:scaling>
          <c:orientation val="minMax"/>
        </c:scaling>
        <c:axPos val="l"/>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8335488"/>
        <c:crosses val="autoZero"/>
        <c:auto val="1"/>
        <c:lblAlgn val="ctr"/>
        <c:lblOffset val="100"/>
      </c:catAx>
      <c:valAx>
        <c:axId val="88335488"/>
        <c:scaling>
          <c:orientation val="minMax"/>
        </c:scaling>
        <c:delete val="1"/>
        <c:axPos val="b"/>
        <c:majorGridlines>
          <c:spPr>
            <a:ln w="9525" cap="flat" cmpd="sng" algn="ctr">
              <a:solidFill>
                <a:srgbClr val="D9D9D9">
                  <a:lumMod val="15000"/>
                  <a:lumOff val="85000"/>
                </a:srgbClr>
              </a:solidFill>
              <a:round/>
            </a:ln>
            <a:effectLst/>
          </c:spPr>
        </c:majorGridlines>
        <c:numFmt formatCode="0.00%" sourceLinked="1"/>
        <c:majorTickMark val="none"/>
        <c:tickLblPos val="nextTo"/>
        <c:crossAx val="88309120"/>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cap="none" spc="20" baseline="0">
                <a:solidFill>
                  <a:srgbClr val="000000"/>
                </a:solidFill>
                <a:effectLst>
                  <a:outerShdw blurRad="38100" dist="19050" dir="2700000" algn="tl" rotWithShape="0">
                    <a:srgbClr val="000000">
                      <a:alpha val="40000"/>
                    </a:srgbClr>
                  </a:outerShdw>
                </a:effectLst>
                <a:latin typeface="+mn-lt"/>
                <a:ea typeface="+mn-ea"/>
                <a:cs typeface="+mn-cs"/>
              </a:defRPr>
            </a:pPr>
            <a:r>
              <a:rPr b="1">
                <a:solidFill>
                  <a:srgbClr val="000000"/>
                </a:solidFill>
                <a:effectLst>
                  <a:outerShdw blurRad="38100" dist="19050" dir="2700000" algn="tl" rotWithShape="0">
                    <a:srgbClr val="000000">
                      <a:alpha val="40000"/>
                    </a:srgbClr>
                  </a:outerShdw>
                </a:effectLst>
              </a:rPr>
              <a:t>杏林学院近三年就业率</a:t>
            </a:r>
          </a:p>
        </c:rich>
      </c:tx>
      <c:spPr>
        <a:noFill/>
        <a:ln>
          <a:noFill/>
        </a:ln>
        <a:effectLst/>
      </c:spPr>
    </c:title>
    <c:plotArea>
      <c:layout/>
      <c:lineChart>
        <c:grouping val="standard"/>
        <c:ser>
          <c:idx val="0"/>
          <c:order val="0"/>
          <c:tx>
            <c:strRef>
              <c:f>'[新建 Microsoft Excel 工作表 (3).xlsx]Sheet1'!$A$7</c:f>
              <c:strCache>
                <c:ptCount val="1"/>
                <c:pt idx="0">
                  <c:v>初次就业率</c:v>
                </c:pt>
              </c:strCache>
            </c:strRef>
          </c:tx>
          <c:spPr>
            <a:ln w="22225" cap="rnd" cmpd="sng" algn="ctr">
              <a:solidFill>
                <a:srgbClr val="4F81BD"/>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'[新建 Microsoft Excel 工作表 (3).xlsx]Sheet1'!$B$6:$D$6</c:f>
              <c:strCache>
                <c:ptCount val="3"/>
                <c:pt idx="0">
                  <c:v>2014年</c:v>
                </c:pt>
                <c:pt idx="1">
                  <c:v>2015年</c:v>
                </c:pt>
                <c:pt idx="2">
                  <c:v>2016年</c:v>
                </c:pt>
              </c:strCache>
            </c:strRef>
          </c:cat>
          <c:val>
            <c:numRef>
              <c:f>'[新建 Microsoft Excel 工作表 (3).xlsx]Sheet1'!$B$7:$D$7</c:f>
              <c:numCache>
                <c:formatCode>0.00%</c:formatCode>
                <c:ptCount val="3"/>
                <c:pt idx="0">
                  <c:v>0.8742000000000002</c:v>
                </c:pt>
                <c:pt idx="1">
                  <c:v>0.87850000000000017</c:v>
                </c:pt>
                <c:pt idx="2">
                  <c:v>0.88190000000000002</c:v>
                </c:pt>
              </c:numCache>
            </c:numRef>
          </c:val>
        </c:ser>
        <c:ser>
          <c:idx val="1"/>
          <c:order val="1"/>
          <c:tx>
            <c:strRef>
              <c:f>'[新建 Microsoft Excel 工作表 (3).xlsx]Sheet1'!$A$8</c:f>
              <c:strCache>
                <c:ptCount val="1"/>
                <c:pt idx="0">
                  <c:v>年终就业率</c:v>
                </c:pt>
              </c:strCache>
            </c:strRef>
          </c:tx>
          <c:spPr>
            <a:ln w="22225" cap="rnd" cmpd="sng" algn="ctr">
              <a:solidFill>
                <a:srgbClr val="C0504D"/>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'[新建 Microsoft Excel 工作表 (3).xlsx]Sheet1'!$B$6:$D$6</c:f>
              <c:strCache>
                <c:ptCount val="3"/>
                <c:pt idx="0">
                  <c:v>2014年</c:v>
                </c:pt>
                <c:pt idx="1">
                  <c:v>2015年</c:v>
                </c:pt>
                <c:pt idx="2">
                  <c:v>2016年</c:v>
                </c:pt>
              </c:strCache>
            </c:strRef>
          </c:cat>
          <c:val>
            <c:numRef>
              <c:f>'[新建 Microsoft Excel 工作表 (3).xlsx]Sheet1'!$B$8:$D$8</c:f>
              <c:numCache>
                <c:formatCode>0.00%</c:formatCode>
                <c:ptCount val="3"/>
                <c:pt idx="0">
                  <c:v>0.9730000000000002</c:v>
                </c:pt>
                <c:pt idx="1">
                  <c:v>0.97920000000000018</c:v>
                </c:pt>
                <c:pt idx="2">
                  <c:v>0.98060000000000003</c:v>
                </c:pt>
              </c:numCache>
            </c:numRef>
          </c:val>
        </c:ser>
        <c:ser>
          <c:idx val="2"/>
          <c:order val="2"/>
          <c:tx>
            <c:strRef>
              <c:f>'[新建 Microsoft Excel 工作表 (3).xlsx]Sheet1'!$A$9</c:f>
              <c:strCache>
                <c:ptCount val="1"/>
                <c:pt idx="0">
                  <c:v>总协议率</c:v>
                </c:pt>
              </c:strCache>
            </c:strRef>
          </c:tx>
          <c:spPr>
            <a:ln w="22225" cap="rnd" cmpd="sng" algn="ctr">
              <a:solidFill>
                <a:srgbClr val="9BBB59"/>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'[新建 Microsoft Excel 工作表 (3).xlsx]Sheet1'!$B$6:$D$6</c:f>
              <c:strCache>
                <c:ptCount val="3"/>
                <c:pt idx="0">
                  <c:v>2014年</c:v>
                </c:pt>
                <c:pt idx="1">
                  <c:v>2015年</c:v>
                </c:pt>
                <c:pt idx="2">
                  <c:v>2016年</c:v>
                </c:pt>
              </c:strCache>
            </c:strRef>
          </c:cat>
          <c:val>
            <c:numRef>
              <c:f>'[新建 Microsoft Excel 工作表 (3).xlsx]Sheet1'!$B$9:$D$9</c:f>
              <c:numCache>
                <c:formatCode>0.00%</c:formatCode>
                <c:ptCount val="3"/>
                <c:pt idx="0">
                  <c:v>0.94300000000000017</c:v>
                </c:pt>
                <c:pt idx="1">
                  <c:v>0.95340000000000003</c:v>
                </c:pt>
                <c:pt idx="2">
                  <c:v>0.95520000000000005</c:v>
                </c:pt>
              </c:numCache>
            </c:numRef>
          </c:val>
        </c:ser>
        <c:dLbls>
          <c:showVal val="1"/>
        </c:dLbls>
        <c:dropLines>
          <c:spPr>
            <a:ln w="9525" cap="flat" cmpd="sng" algn="ctr">
              <a:solidFill>
                <a:srgbClr val="A6A6A6">
                  <a:lumMod val="35000"/>
                  <a:lumOff val="65000"/>
                  <a:alpha val="33000"/>
                </a:srgbClr>
              </a:solidFill>
              <a:round/>
            </a:ln>
            <a:effectLst/>
          </c:spPr>
        </c:dropLines>
        <c:marker val="1"/>
        <c:axId val="87830912"/>
        <c:axId val="87832448"/>
      </c:lineChart>
      <c:catAx>
        <c:axId val="87830912"/>
        <c:scaling>
          <c:orientation val="minMax"/>
        </c:scaling>
        <c:axPos val="b"/>
        <c:maj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1" i="0" u="none" strike="noStrike" kern="1200" spc="2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crossAx val="87832448"/>
        <c:crosses val="autoZero"/>
        <c:auto val="1"/>
        <c:lblAlgn val="ctr"/>
        <c:lblOffset val="100"/>
      </c:catAx>
      <c:valAx>
        <c:axId val="87832448"/>
        <c:scaling>
          <c:orientation val="minMax"/>
        </c:scaling>
        <c:axPos val="l"/>
        <c:numFmt formatCode="0.00%" sourceLinked="1"/>
        <c:majorTickMark val="none"/>
        <c:tickLblPos val="nextTo"/>
        <c:spPr>
          <a:noFill/>
          <a:ln>
            <a:noFill/>
          </a:ln>
          <a:effectLst/>
        </c:spPr>
        <c:txPr>
          <a:bodyPr rot="-60000000" spcFirstLastPara="0" vertOverflow="ellipsis" vert="horz" wrap="square" anchor="ctr" anchorCtr="1"/>
          <a:lstStyle/>
          <a:p>
            <a:pPr>
              <a:defRPr lang="zh-CN" sz="900" b="1" i="0" u="none" strike="noStrike" kern="1200" spc="2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crossAx val="87830912"/>
        <c:crosses val="autoZero"/>
        <c:crossBetween val="between"/>
      </c:valAx>
      <c:spPr>
        <a:gradFill>
          <a:gsLst>
            <a:gs pos="100000">
              <a:srgbClr val="F2F2F2">
                <a:lumMod val="95000"/>
              </a:srgbClr>
            </a:gs>
            <a:gs pos="0">
              <a:srgbClr val="FFFFFF"/>
            </a:gs>
          </a:gsLst>
          <a:lin ang="5400000" scaled="0"/>
        </a:gradFill>
        <a:ln>
          <a:noFill/>
        </a:ln>
        <a:effectLst/>
      </c:spPr>
    </c:plotArea>
    <c:legend>
      <c:legendPos val="b"/>
      <c:legendEntry>
        <c:idx val="1"/>
        <c:txPr>
          <a:bodyPr rot="0" spcFirstLastPara="0" vertOverflow="ellipsis" vert="horz" wrap="square"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legendEntry>
      <c:legendEntry>
        <c:idx val="2"/>
        <c:txPr>
          <a:bodyPr rot="0" spcFirstLastPara="0" vertOverflow="ellipsis" vert="horz" wrap="square"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legendEntry>
      <c:legendEntry>
        <c:idx val="0"/>
        <c:txPr>
          <a:bodyPr rot="0" spcFirstLastPara="0" vertOverflow="ellipsis" vert="horz" wrap="square"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legendEntry>
      <c:spPr>
        <a:noFill/>
        <a:ln>
          <a:noFill/>
        </a:ln>
        <a:effectLst/>
      </c:spPr>
      <c:txPr>
        <a:bodyPr rot="0" spcFirstLastPara="0" vertOverflow="ellipsis" vert="horz" wrap="square" anchor="ctr" anchorCtr="1"/>
        <a:lstStyle/>
        <a:p>
          <a:pPr>
            <a:defRPr lang="zh-CN" sz="900" b="1" i="0" u="none" strike="noStrike" kern="1200" baseline="0">
              <a:solidFill>
                <a:srgbClr val="000000"/>
              </a:solidFill>
              <a:effectLst>
                <a:outerShdw blurRad="38100" dist="19050" dir="2700000" algn="tl" rotWithShape="0">
                  <a:srgbClr val="000000">
                    <a:alpha val="40000"/>
                  </a:srgbClr>
                </a:outerShdw>
              </a:effectLst>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b="1">
          <a:solidFill>
            <a:srgbClr val="000000"/>
          </a:solidFill>
          <a:effectLst>
            <a:outerShdw blurRad="38100" dist="19050" dir="2700000" algn="tl" rotWithShape="0">
              <a:srgbClr val="000000">
                <a:alpha val="40000"/>
              </a:srgbClr>
            </a:outerShdw>
          </a:effectLst>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'[新建 Microsoft Excel 工作表 (3).xlsx]Sheet3'!$A$3</c:f>
              <c:strCache>
                <c:ptCount val="1"/>
                <c:pt idx="0">
                  <c:v>协议就业率</c:v>
                </c:pt>
              </c:strCache>
            </c:strRef>
          </c:tx>
          <c:spPr>
            <a:gradFill rotWithShape="1">
              <a:gsLst>
                <a:gs pos="0">
                  <a:srgbClr val="2C5D98">
                    <a:shade val="51000"/>
                    <a:satMod val="130000"/>
                  </a:srgbClr>
                </a:gs>
                <a:gs pos="80000">
                  <a:srgbClr val="3C7BC7">
                    <a:shade val="93000"/>
                    <a:satMod val="130000"/>
                  </a:srgbClr>
                </a:gs>
                <a:gs pos="100000">
                  <a:srgbClr val="3A7CCB">
                    <a:shade val="94000"/>
                    <a:satMod val="135000"/>
                  </a:srgb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in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Microsoft Excel 工作表 (3).xlsx]Sheet3'!$B$2:$D$2</c:f>
              <c:strCache>
                <c:ptCount val="3"/>
                <c:pt idx="0">
                  <c:v>2014届</c:v>
                </c:pt>
                <c:pt idx="1">
                  <c:v>2015届</c:v>
                </c:pt>
                <c:pt idx="2">
                  <c:v>2016届</c:v>
                </c:pt>
              </c:strCache>
            </c:strRef>
          </c:cat>
          <c:val>
            <c:numRef>
              <c:f>'[新建 Microsoft Excel 工作表 (3).xlsx]Sheet3'!$B$3:$D$3</c:f>
              <c:numCache>
                <c:formatCode>0.00%</c:formatCode>
                <c:ptCount val="3"/>
                <c:pt idx="0">
                  <c:v>0.92310000000000003</c:v>
                </c:pt>
                <c:pt idx="1">
                  <c:v>0.91539999999999999</c:v>
                </c:pt>
                <c:pt idx="2">
                  <c:v>0.91909385113268605</c:v>
                </c:pt>
              </c:numCache>
            </c:numRef>
          </c:val>
        </c:ser>
        <c:ser>
          <c:idx val="1"/>
          <c:order val="1"/>
          <c:tx>
            <c:strRef>
              <c:f>'[新建 Microsoft Excel 工作表 (3).xlsx]Sheet3'!$A$4</c:f>
              <c:strCache>
                <c:ptCount val="1"/>
                <c:pt idx="0">
                  <c:v>升学出国率</c:v>
                </c:pt>
              </c:strCache>
            </c:strRef>
          </c:tx>
          <c:spPr>
            <a:gradFill rotWithShape="1">
              <a:gsLst>
                <a:gs pos="0">
                  <a:srgbClr val="9B2D2A">
                    <a:shade val="51000"/>
                    <a:satMod val="130000"/>
                  </a:srgbClr>
                </a:gs>
                <a:gs pos="80000">
                  <a:srgbClr val="CB3D3A">
                    <a:shade val="93000"/>
                    <a:satMod val="130000"/>
                  </a:srgbClr>
                </a:gs>
                <a:gs pos="100000">
                  <a:srgbClr val="CE3B37">
                    <a:shade val="94000"/>
                    <a:satMod val="135000"/>
                  </a:srgb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in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Microsoft Excel 工作表 (3).xlsx]Sheet3'!$B$2:$D$2</c:f>
              <c:strCache>
                <c:ptCount val="3"/>
                <c:pt idx="0">
                  <c:v>2014届</c:v>
                </c:pt>
                <c:pt idx="1">
                  <c:v>2015届</c:v>
                </c:pt>
                <c:pt idx="2">
                  <c:v>2016届</c:v>
                </c:pt>
              </c:strCache>
            </c:strRef>
          </c:cat>
          <c:val>
            <c:numRef>
              <c:f>'[新建 Microsoft Excel 工作表 (3).xlsx]Sheet3'!$B$4:$D$4</c:f>
              <c:numCache>
                <c:formatCode>0.00%</c:formatCode>
                <c:ptCount val="3"/>
                <c:pt idx="0">
                  <c:v>1.9900000000000008E-2</c:v>
                </c:pt>
                <c:pt idx="1">
                  <c:v>3.8000000000000006E-2</c:v>
                </c:pt>
                <c:pt idx="2">
                  <c:v>3.6138079827400214E-2</c:v>
                </c:pt>
              </c:numCache>
            </c:numRef>
          </c:val>
        </c:ser>
        <c:ser>
          <c:idx val="2"/>
          <c:order val="2"/>
          <c:tx>
            <c:strRef>
              <c:f>'[新建 Microsoft Excel 工作表 (3).xlsx]Sheet3'!$A$5</c:f>
              <c:strCache>
                <c:ptCount val="1"/>
                <c:pt idx="0">
                  <c:v>灵活就业率</c:v>
                </c:pt>
              </c:strCache>
            </c:strRef>
          </c:tx>
          <c:spPr>
            <a:gradFill rotWithShape="1">
              <a:gsLst>
                <a:gs pos="0">
                  <a:srgbClr val="769535">
                    <a:shade val="51000"/>
                    <a:satMod val="130000"/>
                  </a:srgbClr>
                </a:gs>
                <a:gs pos="80000">
                  <a:srgbClr val="9BC348">
                    <a:shade val="93000"/>
                    <a:satMod val="130000"/>
                  </a:srgbClr>
                </a:gs>
                <a:gs pos="100000">
                  <a:srgbClr val="9CC746">
                    <a:shade val="94000"/>
                    <a:satMod val="135000"/>
                  </a:srgb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in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Microsoft Excel 工作表 (3).xlsx]Sheet3'!$B$2:$D$2</c:f>
              <c:strCache>
                <c:ptCount val="3"/>
                <c:pt idx="0">
                  <c:v>2014届</c:v>
                </c:pt>
                <c:pt idx="1">
                  <c:v>2015届</c:v>
                </c:pt>
                <c:pt idx="2">
                  <c:v>2016届</c:v>
                </c:pt>
              </c:strCache>
            </c:strRef>
          </c:cat>
          <c:val>
            <c:numRef>
              <c:f>'[新建 Microsoft Excel 工作表 (3).xlsx]Sheet3'!$B$5:$D$5</c:f>
              <c:numCache>
                <c:formatCode>0.00%</c:formatCode>
                <c:ptCount val="3"/>
                <c:pt idx="0" formatCode="0%">
                  <c:v>3.0000000000000002E-2</c:v>
                </c:pt>
                <c:pt idx="1">
                  <c:v>2.5800000000000007E-2</c:v>
                </c:pt>
                <c:pt idx="2">
                  <c:v>2.5350593311758401E-2</c:v>
                </c:pt>
              </c:numCache>
            </c:numRef>
          </c:val>
        </c:ser>
        <c:dLbls>
          <c:showVal val="1"/>
        </c:dLbls>
        <c:gapWidth val="100"/>
        <c:overlap val="-24"/>
        <c:axId val="136971776"/>
        <c:axId val="136973312"/>
      </c:barChart>
      <c:catAx>
        <c:axId val="136971776"/>
        <c:scaling>
          <c:orientation val="minMax"/>
        </c:scaling>
        <c:axPos val="b"/>
        <c:majorTickMark val="none"/>
        <c:tickLblPos val="nextTo"/>
        <c:spPr>
          <a:noFill/>
          <a:ln w="12700"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36973312"/>
        <c:crosses val="autoZero"/>
        <c:auto val="1"/>
        <c:lblAlgn val="ctr"/>
        <c:lblOffset val="100"/>
      </c:catAx>
      <c:valAx>
        <c:axId val="136973312"/>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36971776"/>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spPr>
            <a:solidFill>
              <a:srgbClr val="4F81BD"/>
            </a:solidFill>
            <a:effectLst/>
          </c:spPr>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Lbls>
            <c:dLbl>
              <c:idx val="1"/>
              <c:layout>
                <c:manualLayout>
                  <c:x val="1.1160714285714305E-2"/>
                  <c:y val="-0.10069444444444403"/>
                </c:manualLayout>
              </c:layout>
              <c:spPr/>
              <c:txPr>
                <a:bodyPr/>
                <a:lstStyle/>
                <a:p>
                  <a:pPr>
                    <a:defRPr/>
                  </a:pPr>
                  <a:endParaRPr lang="zh-CN"/>
                </a:p>
              </c:txPr>
              <c:dLblPos val="bestFit"/>
              <c:showVal val="1"/>
              <c:extLst>
                <c:ext xmlns:c15="http://schemas.microsoft.com/office/drawing/2012/chart" uri="{CE6537A1-D6FC-4f65-9D91-7224C49458BB}">
                  <c15:layout/>
                </c:ext>
              </c:extLst>
            </c:dLbl>
            <c:txPr>
              <a:bodyPr rot="0" spcFirstLastPara="0" vertOverflow="ellipsis" horzOverflow="overflow" vert="horz" wrap="square" anchor="ctr" anchorCtr="1"/>
              <a:lstStyle/>
              <a:p>
                <a:pPr>
                  <a:defRPr sz="1100" b="0" kern="120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noFill/>
                    <a:ln w="9525" cap="flat" cmpd="sng" algn="ctr">
                      <a:solidFill>
                        <a:srgbClr val="969696">
                          <a:alpha val="100000"/>
                        </a:srgbClr>
                      </a:solidFill>
                      <a:prstDash val="solid"/>
                    </a:ln>
                    <a:effectLst/>
                  </c:spPr>
                </c15:leaderLines>
              </c:ext>
            </c:extLst>
          </c:dLbls>
          <c:cat>
            <c:strRef>
              <c:f>[用人单位对毕业生总体评价.xls]Sheet1!$G$4:$G$7</c:f>
              <c:strCache>
                <c:ptCount val="4"/>
                <c:pt idx="0">
                  <c:v>很满意</c:v>
                </c:pt>
                <c:pt idx="1">
                  <c:v>满意</c:v>
                </c:pt>
                <c:pt idx="2">
                  <c:v>较满意</c:v>
                </c:pt>
                <c:pt idx="3">
                  <c:v>一般</c:v>
                </c:pt>
              </c:strCache>
            </c:strRef>
          </c:cat>
          <c:val>
            <c:numRef>
              <c:f>[用人单位对毕业生总体评价.xls]Sheet1!$H$4:$H$7</c:f>
              <c:numCache>
                <c:formatCode>0.00%</c:formatCode>
                <c:ptCount val="4"/>
                <c:pt idx="0">
                  <c:v>0.28947368421052611</c:v>
                </c:pt>
                <c:pt idx="1">
                  <c:v>0.57894736842105299</c:v>
                </c:pt>
                <c:pt idx="2">
                  <c:v>7.8947368421052586E-2</c:v>
                </c:pt>
                <c:pt idx="3">
                  <c:v>5.2631578947368425E-2</c:v>
                </c:pt>
              </c:numCache>
            </c:numRef>
          </c:val>
        </c:ser>
        <c:firstSliceAng val="0"/>
      </c:pieChart>
      <c:spPr>
        <a:noFill/>
        <a:ln>
          <a:noFill/>
        </a:ln>
        <a:effectLst/>
      </c:spPr>
    </c:plotArea>
    <c:legend>
      <c:legendPos val="r"/>
      <c:layout>
        <c:manualLayout>
          <c:xMode val="edge"/>
          <c:yMode val="edge"/>
          <c:x val="0.78208333333333302"/>
          <c:y val="0.37280092592592623"/>
          <c:w val="0.12400000000000003"/>
          <c:h val="0.26825000000000004"/>
        </c:manualLayout>
      </c:layout>
      <c:spPr>
        <a:noFill/>
        <a:ln>
          <a:noFill/>
        </a:ln>
        <a:effectLst/>
      </c:spPr>
      <c:txPr>
        <a:bodyPr rot="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kern="1200">
          <a:solidFill>
            <a:srgbClr val="000000"/>
          </a:solidFill>
          <a:latin typeface="+mn-lt"/>
          <a:ea typeface="+mn-ea"/>
          <a:cs typeface="+mn-cs"/>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2022222222222201"/>
          <c:y val="3.7037037037037014E-2"/>
          <c:w val="0.73686111111111119"/>
          <c:h val="0.83712962962963022"/>
        </c:manualLayout>
      </c:layout>
      <c:barChart>
        <c:barDir val="bar"/>
        <c:grouping val="clustered"/>
        <c:ser>
          <c:idx val="0"/>
          <c:order val="0"/>
          <c:tx>
            <c:strRef>
              <c:f>'[（三）用人单位对毕业生专业技能的认可度.xls]Sheet1'!$G$3</c:f>
              <c:strCache>
                <c:ptCount val="1"/>
              </c:strCache>
            </c:strRef>
          </c:tx>
          <c:spPr>
            <a:solidFill>
              <a:srgbClr val="4F81BD"/>
            </a:solidFill>
            <a:ln>
              <a:noFill/>
            </a:ln>
            <a:effectLst/>
          </c:spPr>
          <c:dLbls>
            <c:txPr>
              <a:bodyPr rot="0" spcFirstLastPara="0" vertOverflow="ellipsis" horzOverflow="overflow" vert="horz" wrap="square" anchor="ctr" anchorCtr="1"/>
              <a:lstStyle/>
              <a:p>
                <a:pPr>
                  <a:defRPr sz="900" b="0" kern="120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spPr>
                    <a:noFill/>
                    <a:ln w="9525" cap="flat" cmpd="sng" algn="ctr">
                      <a:solidFill>
                        <a:srgbClr val="000000"/>
                      </a:solidFill>
                      <a:prstDash val="solid"/>
                    </a:ln>
                    <a:effectLst/>
                  </c:spPr>
                </c15:leaderLines>
              </c:ext>
            </c:extLst>
          </c:dLbls>
          <c:cat>
            <c:strRef>
              <c:f>'[（三）用人单位对毕业生专业技能的认可度.xls]Sheet1'!$F$4:$F$11</c:f>
              <c:strCache>
                <c:ptCount val="8"/>
                <c:pt idx="0">
                  <c:v>创新能力</c:v>
                </c:pt>
                <c:pt idx="1">
                  <c:v>管理能力</c:v>
                </c:pt>
                <c:pt idx="2">
                  <c:v>合作与协调能力</c:v>
                </c:pt>
                <c:pt idx="3">
                  <c:v>计算机水平</c:v>
                </c:pt>
                <c:pt idx="4">
                  <c:v>灵活应变能力</c:v>
                </c:pt>
                <c:pt idx="5">
                  <c:v>学习能力</c:v>
                </c:pt>
                <c:pt idx="6">
                  <c:v>外语水平</c:v>
                </c:pt>
                <c:pt idx="7">
                  <c:v>实践能力</c:v>
                </c:pt>
              </c:strCache>
            </c:strRef>
          </c:cat>
          <c:val>
            <c:numRef>
              <c:f>'[（三）用人单位对毕业生专业技能的认可度.xls]Sheet1'!$G$4:$G$11</c:f>
              <c:numCache>
                <c:formatCode>0.00%</c:formatCode>
                <c:ptCount val="8"/>
                <c:pt idx="0">
                  <c:v>0.6000000000000002</c:v>
                </c:pt>
                <c:pt idx="1">
                  <c:v>0.65000000000000024</c:v>
                </c:pt>
                <c:pt idx="2">
                  <c:v>0.71428570000000002</c:v>
                </c:pt>
                <c:pt idx="3">
                  <c:v>0.61428570000000005</c:v>
                </c:pt>
                <c:pt idx="4">
                  <c:v>0.82428570000000001</c:v>
                </c:pt>
                <c:pt idx="5">
                  <c:v>0.51428571428571401</c:v>
                </c:pt>
                <c:pt idx="6">
                  <c:v>0.58571428999999986</c:v>
                </c:pt>
                <c:pt idx="7">
                  <c:v>0.65714285714285725</c:v>
                </c:pt>
              </c:numCache>
            </c:numRef>
          </c:val>
        </c:ser>
        <c:gapWidth val="182"/>
        <c:axId val="137034368"/>
        <c:axId val="137044352"/>
      </c:barChart>
      <c:catAx>
        <c:axId val="137034368"/>
        <c:scaling>
          <c:orientation val="minMax"/>
        </c:scaling>
        <c:axPos val="l"/>
        <c:numFmt formatCode="General" sourceLinked="1"/>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sz="900" b="0" kern="1200">
                <a:solidFill>
                  <a:srgbClr val="595959">
                    <a:lumMod val="65000"/>
                    <a:lumOff val="35000"/>
                  </a:srgbClr>
                </a:solidFill>
                <a:latin typeface="+mn-lt"/>
                <a:ea typeface="+mn-ea"/>
                <a:cs typeface="+mn-cs"/>
              </a:defRPr>
            </a:pPr>
            <a:endParaRPr lang="zh-CN"/>
          </a:p>
        </c:txPr>
        <c:crossAx val="137044352"/>
        <c:crosses val="autoZero"/>
        <c:auto val="1"/>
        <c:lblAlgn val="ctr"/>
        <c:lblOffset val="100"/>
        <c:tickMarkSkip val="1"/>
      </c:catAx>
      <c:valAx>
        <c:axId val="137044352"/>
        <c:scaling>
          <c:orientation val="minMax"/>
        </c:scaling>
        <c:delete val="1"/>
        <c:axPos val="b"/>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crossAx val="137034368"/>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6420882646418892"/>
          <c:y val="2.4311347463365413E-2"/>
          <c:w val="0.53873178749295181"/>
          <c:h val="0.93276353276353319"/>
        </c:manualLayout>
      </c:layout>
      <c:pieChart>
        <c:varyColors val="1"/>
        <c:ser>
          <c:idx val="0"/>
          <c:order val="0"/>
          <c:spPr>
            <a:gradFill rotWithShape="1">
              <a:gsLst>
                <a:gs pos="0">
                  <a:srgbClr val="2C5D98">
                    <a:shade val="51000"/>
                    <a:satMod val="130000"/>
                  </a:srgbClr>
                </a:gs>
                <a:gs pos="80000">
                  <a:srgbClr val="3C7BC7">
                    <a:shade val="93000"/>
                    <a:satMod val="130000"/>
                  </a:srgbClr>
                </a:gs>
                <a:gs pos="100000">
                  <a:srgbClr val="3A7CCB">
                    <a:shade val="94000"/>
                    <a:satMod val="135000"/>
                  </a:srgbClr>
                </a:gs>
              </a:gsLst>
              <a:lin ang="16200000" scaled="0"/>
            </a:gradFill>
            <a:ln w="3175">
              <a:noFill/>
            </a:ln>
            <a:effectLst>
              <a:outerShdw blurRad="40000" dist="23000" dir="5400000" rotWithShape="0">
                <a:srgbClr val="4F81BD">
                  <a:alpha val="35000"/>
                </a:srgbClr>
              </a:outerShdw>
            </a:effectLst>
          </c:spPr>
          <c:explosion val="11"/>
          <c:dPt>
            <c:idx val="0"/>
            <c:spPr>
              <a:gradFill rotWithShape="1">
                <a:gsLst>
                  <a:gs pos="0">
                    <a:srgbClr val="2C5D98">
                      <a:shade val="51000"/>
                      <a:satMod val="130000"/>
                    </a:srgbClr>
                  </a:gs>
                  <a:gs pos="80000">
                    <a:srgbClr val="3C7BC7">
                      <a:shade val="93000"/>
                      <a:satMod val="130000"/>
                    </a:srgbClr>
                  </a:gs>
                  <a:gs pos="100000">
                    <a:srgbClr val="3A7CCB">
                      <a:shade val="94000"/>
                      <a:satMod val="135000"/>
                    </a:srgbClr>
                  </a:gs>
                </a:gsLst>
                <a:lin ang="16200000" scaled="0"/>
              </a:gradFill>
              <a:ln>
                <a:noFill/>
              </a:ln>
              <a:effectLst>
                <a:outerShdw blurRad="40000" dist="23000" dir="5400000" rotWithShape="0">
                  <a:srgbClr val="4F81BD">
                    <a:alpha val="35000"/>
                  </a:srgbClr>
                </a:outerShdw>
              </a:effectLst>
            </c:spPr>
          </c:dPt>
          <c:dPt>
            <c:idx val="1"/>
            <c:spPr>
              <a:gradFill rotWithShape="1">
                <a:gsLst>
                  <a:gs pos="2000">
                    <a:srgbClr val="FE4444"/>
                  </a:gs>
                  <a:gs pos="100000">
                    <a:srgbClr val="832B2B"/>
                  </a:gs>
                </a:gsLst>
                <a:lin ang="0" scaled="0"/>
              </a:gradFill>
              <a:ln>
                <a:noFill/>
              </a:ln>
              <a:effectLst>
                <a:outerShdw blurRad="40000" dist="23000" dir="5400000" rotWithShape="0">
                  <a:srgbClr val="C0504D">
                    <a:alpha val="35000"/>
                  </a:srgbClr>
                </a:outerShdw>
              </a:effectLst>
            </c:spPr>
          </c:dPt>
          <c:dLbls>
            <c:dLbl>
              <c:idx val="0"/>
              <c:tx>
                <c:rich>
                  <a:bodyPr rot="0" spcFirstLastPara="0" vertOverflow="ellipsis" vert="horz" wrap="square" lIns="38100" tIns="19050" rIns="38100" bIns="19050" anchor="ctr" anchorCtr="1"/>
                  <a:lstStyle/>
                  <a:p>
                    <a:pPr algn="ctr" defTabSz="914400">
                      <a:defRPr lang="zh-CN" sz="900" b="0" i="0" u="none" strike="noStrike" kern="1200" baseline="0">
                        <a:solidFill>
                          <a:srgbClr val="1F497D"/>
                        </a:solidFill>
                        <a:latin typeface="+mn-lt"/>
                        <a:ea typeface="+mn-ea"/>
                        <a:cs typeface="+mn-cs"/>
                      </a:defRPr>
                    </a:pPr>
                    <a:r>
                      <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39</a:t>
                    </a:r>
                    <a:r>
                      <a:rPr lang="en-US" altLang="zh-CN" sz="900" b="0" i="0" u="none" strike="noStrike" kern="1200" cap="none" normalizeH="0" baseline="0">
                        <a:solidFill>
                          <a:srgbClr val="666699"/>
                        </a:solidFill>
                        <a:effectLst/>
                        <a:latin typeface="Arial" panose="020B0604020202020204" charset="-122"/>
                        <a:ea typeface="Arial" panose="020B0604020202020204" charset="-122"/>
                        <a:cs typeface="Arial" panose="020B0604020202020204" charset="-122"/>
                      </a:rPr>
                      <a:t>.03</a:t>
                    </a:r>
                    <a:r>
                      <a:rPr sz="900" b="0" i="0" u="none" strike="noStrike" kern="1200" cap="none" normalizeH="0" baseline="0">
                        <a:solidFill>
                          <a:srgbClr val="666699"/>
                        </a:solidFill>
                        <a:effectLst/>
                        <a:latin typeface="Arial" panose="020B0604020202020204" charset="-122"/>
                        <a:ea typeface="Arial" panose="020B0604020202020204" charset="-122"/>
                        <a:cs typeface="Arial" panose="020B0604020202020204" charset="-122"/>
                      </a:rPr>
                      <a:t>%</a:t>
                    </a:r>
                    <a:endPar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endParaRPr>
                  </a:p>
                  <a:p>
                    <a:pPr algn="ctr" defTabSz="914400">
                      <a:defRPr lang="zh-CN" sz="900" b="0" i="0" u="none" strike="noStrike" kern="1200" baseline="0">
                        <a:solidFill>
                          <a:srgbClr val="1F497D"/>
                        </a:solidFill>
                        <a:latin typeface="+mn-lt"/>
                        <a:ea typeface="+mn-ea"/>
                        <a:cs typeface="+mn-cs"/>
                      </a:defRPr>
                    </a:pPr>
                    <a:r>
                      <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（7</a:t>
                    </a:r>
                    <a:r>
                      <a:rPr lang="en-US" altLang="zh-CN" sz="900" b="0" i="0" u="none" strike="noStrike" kern="1200" cap="none" normalizeH="0" baseline="0">
                        <a:solidFill>
                          <a:srgbClr val="666699"/>
                        </a:solidFill>
                        <a:effectLst/>
                        <a:latin typeface="Arial" panose="020B0604020202020204" charset="-122"/>
                        <a:ea typeface="Arial" panose="020B0604020202020204" charset="-122"/>
                        <a:cs typeface="Arial" panose="020B0604020202020204" charset="-122"/>
                      </a:rPr>
                      <a:t>71</a:t>
                    </a:r>
                    <a:r>
                      <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人）</a:t>
                    </a:r>
                    <a:endParaRPr sz="1200" b="0" i="0" u="none" strike="noStrike" kern="1200" cap="none" normalizeH="0" baseline="0">
                      <a:solidFill>
                        <a:srgbClr val="000000"/>
                      </a:solidFill>
                      <a:effectLst/>
                      <a:latin typeface="宋体" panose="02010600030101010101" charset="-122"/>
                      <a:ea typeface="宋体" panose="02010600030101010101" charset="-122"/>
                      <a:cs typeface="宋体" panose="02010600030101010101" charset="-122"/>
                    </a:endParaRPr>
                  </a:p>
                </c:rich>
              </c:tx>
              <c:spPr>
                <a:noFill/>
                <a:ln>
                  <a:noFill/>
                </a:ln>
                <a:effectLst/>
              </c:spPr>
              <c:dLblPos val="ctr"/>
              <c:showVal val="1"/>
              <c:showPercent val="1"/>
              <c:extLs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algn="ctr" defTabSz="914400">
                      <a:defRPr lang="zh-CN" sz="900" b="0" i="0" u="none" strike="noStrike" kern="1200" baseline="0">
                        <a:solidFill>
                          <a:srgbClr val="1F497D"/>
                        </a:solidFill>
                        <a:latin typeface="+mn-lt"/>
                        <a:ea typeface="+mn-ea"/>
                        <a:cs typeface="+mn-cs"/>
                      </a:defRPr>
                    </a:pPr>
                    <a:r>
                      <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6</a:t>
                    </a:r>
                    <a:r>
                      <a:rPr lang="en-US" altLang="zh-CN" sz="900" b="0" i="0" u="none" strike="noStrike" kern="1200" cap="none" normalizeH="0" baseline="0">
                        <a:solidFill>
                          <a:srgbClr val="666699"/>
                        </a:solidFill>
                        <a:effectLst/>
                        <a:latin typeface="Arial" panose="020B0604020202020204" charset="-122"/>
                        <a:ea typeface="Arial" panose="020B0604020202020204" charset="-122"/>
                        <a:cs typeface="Arial" panose="020B0604020202020204" charset="-122"/>
                      </a:rPr>
                      <a:t>0.9</a:t>
                    </a:r>
                    <a:r>
                      <a:rPr sz="900" b="0" i="0" u="none" strike="noStrike" kern="1200" cap="none" normalizeH="0" baseline="0">
                        <a:solidFill>
                          <a:srgbClr val="666699"/>
                        </a:solidFill>
                        <a:effectLst/>
                        <a:latin typeface="Arial" panose="020B0604020202020204" charset="-122"/>
                        <a:ea typeface="Arial" panose="020B0604020202020204" charset="-122"/>
                        <a:cs typeface="Arial" panose="020B0604020202020204" charset="-122"/>
                      </a:rPr>
                      <a:t>%</a:t>
                    </a:r>
                    <a:endPar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endParaRPr>
                  </a:p>
                  <a:p>
                    <a:pPr algn="ctr" defTabSz="914400">
                      <a:defRPr lang="zh-CN" sz="900" b="0" i="0" u="none" strike="noStrike" kern="1200" baseline="0">
                        <a:solidFill>
                          <a:srgbClr val="1F497D"/>
                        </a:solidFill>
                        <a:latin typeface="+mn-lt"/>
                        <a:ea typeface="+mn-ea"/>
                        <a:cs typeface="+mn-cs"/>
                      </a:defRPr>
                    </a:pPr>
                    <a:r>
                      <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（12</a:t>
                    </a:r>
                    <a:r>
                      <a:rPr lang="en-US" altLang="zh-CN"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0</a:t>
                    </a:r>
                    <a:r>
                      <a:rPr sz="900" b="0" i="0" u="none" strike="noStrike" kern="1200" cap="none" normalizeH="0" baseline="0">
                        <a:solidFill>
                          <a:srgbClr val="666699"/>
                        </a:solidFill>
                        <a:effectLst/>
                        <a:latin typeface="Arial" panose="020B0604020202020204" charset="-122"/>
                        <a:ea typeface="Arial" panose="020B0604020202020204" charset="-122"/>
                        <a:cs typeface="Arial" panose="020B0604020202020204" charset="-122"/>
                      </a:rPr>
                      <a:t>4</a:t>
                    </a:r>
                    <a:r>
                      <a:rPr sz="900" b="0" i="0" u="none" strike="noStrike" kern="1200" cap="none" normalizeH="0" baseline="0">
                        <a:solidFill>
                          <a:srgbClr val="666699"/>
                        </a:solidFill>
                        <a:effectLst/>
                        <a:latin typeface="宋体" panose="02010600030101010101" charset="-122"/>
                        <a:ea typeface="宋体" panose="02010600030101010101" charset="-122"/>
                        <a:cs typeface="宋体" panose="02010600030101010101" charset="-122"/>
                      </a:rPr>
                      <a:t>人）</a:t>
                    </a:r>
                    <a:endParaRPr sz="1200" b="0" i="0" u="none" strike="noStrike" kern="1200" cap="none" normalizeH="0" baseline="0">
                      <a:solidFill>
                        <a:srgbClr val="000000"/>
                      </a:solidFill>
                      <a:effectLst/>
                      <a:latin typeface="宋体" panose="02010600030101010101" charset="-122"/>
                      <a:ea typeface="宋体" panose="02010600030101010101" charset="-122"/>
                      <a:cs typeface="宋体" panose="02010600030101010101" charset="-122"/>
                    </a:endParaRPr>
                  </a:p>
                </c:rich>
              </c:tx>
              <c:spPr>
                <a:noFill/>
                <a:ln>
                  <a:noFill/>
                </a:ln>
                <a:effectLst/>
              </c:spPr>
              <c:dLblPos val="ctr"/>
              <c:showVal val="1"/>
              <c:showPercent val="1"/>
              <c:extLst>
                <c:ext xmlns:c15="http://schemas.microsoft.com/office/drawing/2012/chart" uri="{CE6537A1-D6FC-4f65-9D91-7224C49458BB}"/>
              </c:extLst>
            </c:dLbl>
            <c:numFmt formatCode="0%" sourceLinked="0"/>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rgbClr val="1F497D"/>
                    </a:solidFill>
                    <a:latin typeface="+mn-lt"/>
                    <a:ea typeface="+mn-ea"/>
                    <a:cs typeface="+mn-cs"/>
                  </a:defRPr>
                </a:pPr>
                <a:endParaRPr lang="zh-CN"/>
              </a:p>
            </c:txPr>
            <c:dLblPos val="ctr"/>
            <c:showVal val="1"/>
            <c:showPercent val="1"/>
            <c:showLeaderLines val="1"/>
            <c:extLst>
              <c:ext xmlns:c15="http://schemas.microsoft.com/office/drawing/2012/chart" uri="{CE6537A1-D6FC-4f65-9D91-7224C49458BB}">
                <c15:layout/>
                <c15:showLeaderLines val="1"/>
                <c15:leaderLines>
                  <c:spPr>
                    <a:ln w="9525" cap="flat" cmpd="sng" algn="ctr">
                      <a:solidFill>
                        <a:srgbClr val="C0C0C0">
                          <a:alpha val="100000"/>
                        </a:srgbClr>
                      </a:solidFill>
                      <a:prstDash val="solid"/>
                      <a:round/>
                    </a:ln>
                  </c:spPr>
                </c15:leaderLines>
              </c:ext>
            </c:extLst>
          </c:dLbls>
          <c:cat>
            <c:strRef>
              <c:f>[2015届毕业生男女生性别比例.xls]Sheet1!$B$2:$B$3</c:f>
              <c:strCache>
                <c:ptCount val="2"/>
                <c:pt idx="0">
                  <c:v>男</c:v>
                </c:pt>
                <c:pt idx="1">
                  <c:v>女</c:v>
                </c:pt>
              </c:strCache>
            </c:strRef>
          </c:cat>
          <c:val>
            <c:numRef>
              <c:f>[2015届毕业生男女生性别比例.xls]Sheet1!$C$2:$C$3</c:f>
              <c:numCache>
                <c:formatCode>General</c:formatCode>
                <c:ptCount val="2"/>
                <c:pt idx="0">
                  <c:v>731</c:v>
                </c:pt>
                <c:pt idx="1">
                  <c:v>1123</c:v>
                </c:pt>
              </c:numCache>
            </c:numRef>
          </c:val>
        </c:ser>
        <c:firstSliceAng val="0"/>
      </c:pieChart>
      <c:spPr>
        <a:noFill/>
        <a:ln>
          <a:noFill/>
        </a:ln>
        <a:effectLst/>
      </c:spPr>
    </c:plotArea>
    <c:legend>
      <c:legendPos val="r"/>
      <c:layout>
        <c:manualLayout>
          <c:xMode val="edge"/>
          <c:yMode val="edge"/>
          <c:x val="0.82050000000000001"/>
          <c:y val="0.40475"/>
          <c:w val="0.12425000000000003"/>
          <c:h val="0.12450000000000003"/>
        </c:manualLayout>
      </c:layout>
      <c:spPr>
        <a:noFill/>
        <a:ln>
          <a:noFill/>
        </a:ln>
        <a:effectLst/>
      </c:spPr>
      <c:txPr>
        <a:bodyPr rot="0" spcFirstLastPara="0" vertOverflow="ellipsis" horzOverflow="overflow" vert="horz" wrap="square" anchor="ctr" anchorCtr="1"/>
        <a:lstStyle/>
        <a:p>
          <a:pPr>
            <a:defRPr lang="zh-CN" sz="900" b="0" i="0" u="none" strike="noStrike" kern="1200" baseline="0">
              <a:solidFill>
                <a:srgbClr val="1F497D"/>
              </a:solidFill>
              <a:latin typeface="+mn-lt"/>
              <a:ea typeface="+mn-ea"/>
              <a:cs typeface="+mn-cs"/>
            </a:defRPr>
          </a:pPr>
          <a:endParaRPr lang="zh-CN"/>
        </a:p>
      </c:txPr>
    </c:legend>
    <c:plotVisOnly val="1"/>
    <c:dispBlanksAs val="zero"/>
  </c:chart>
  <c:spPr>
    <a:solidFill>
      <a:srgbClr val="FFFFFF"/>
    </a:solidFill>
    <a:ln w="9525" cap="flat" cmpd="sng" algn="ctr">
      <a:solidFill>
        <a:srgbClr val="D4E3F4">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[各学部就业率表.xls]Sheet1!$A$3</c:f>
              <c:strCache>
                <c:ptCount val="1"/>
                <c:pt idx="0">
                  <c:v>年终就业率</c:v>
                </c:pt>
              </c:strCache>
            </c:strRef>
          </c:tx>
          <c:spPr>
            <a:solidFill>
              <a:srgbClr val="4F81BD"/>
            </a:solidFill>
            <a:ln>
              <a:noFill/>
            </a:ln>
            <a:effectLst/>
          </c:spPr>
          <c:cat>
            <c:strRef>
              <c:f>[各学部就业率表.xls]Sheet1!$B$2:$G$2</c:f>
              <c:strCache>
                <c:ptCount val="6"/>
                <c:pt idx="0">
                  <c:v>人文学部</c:v>
                </c:pt>
                <c:pt idx="1">
                  <c:v>理学部</c:v>
                </c:pt>
                <c:pt idx="2">
                  <c:v>经济与管理学部</c:v>
                </c:pt>
                <c:pt idx="3">
                  <c:v>信息科学部</c:v>
                </c:pt>
                <c:pt idx="4">
                  <c:v>工程学部</c:v>
                </c:pt>
                <c:pt idx="5">
                  <c:v>医学部（四）</c:v>
                </c:pt>
              </c:strCache>
            </c:strRef>
          </c:cat>
          <c:val>
            <c:numRef>
              <c:f>[各学部就业率表.xls]Sheet1!$B$3:$G$3</c:f>
              <c:numCache>
                <c:formatCode>0%</c:formatCode>
                <c:ptCount val="6"/>
                <c:pt idx="0">
                  <c:v>1</c:v>
                </c:pt>
                <c:pt idx="1">
                  <c:v>1</c:v>
                </c:pt>
                <c:pt idx="2">
                  <c:v>0.99629999999999996</c:v>
                </c:pt>
                <c:pt idx="3" formatCode="0.00%">
                  <c:v>0.99180000000000001</c:v>
                </c:pt>
                <c:pt idx="4" formatCode="0.00%">
                  <c:v>1</c:v>
                </c:pt>
                <c:pt idx="5" formatCode="0.00%">
                  <c:v>0.99519999999999997</c:v>
                </c:pt>
              </c:numCache>
            </c:numRef>
          </c:val>
        </c:ser>
        <c:gapWidth val="219"/>
        <c:overlap val="-27"/>
        <c:axId val="87242240"/>
        <c:axId val="87259776"/>
      </c:barChart>
      <c:catAx>
        <c:axId val="87242240"/>
        <c:scaling>
          <c:orientation val="minMax"/>
        </c:scaling>
        <c:axPos val="b"/>
        <c:majorTickMark val="in"/>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259776"/>
        <c:crosses val="autoZero"/>
        <c:auto val="1"/>
        <c:lblAlgn val="ctr"/>
        <c:lblOffset val="100"/>
      </c:catAx>
      <c:valAx>
        <c:axId val="87259776"/>
        <c:scaling>
          <c:orientation val="minMax"/>
        </c:scaling>
        <c:axPos val="l"/>
        <c:numFmt formatCode="0%" sourceLinked="1"/>
        <c:majorTickMark val="in"/>
        <c:tickLblPos val="nextTo"/>
        <c:spPr>
          <a:noFill/>
          <a:ln w="6350" cap="flat" cmpd="sng" algn="ctr">
            <a:no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242240"/>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[各学部男女就业率.xls]Sheet1!$B$3</c:f>
              <c:strCache>
                <c:ptCount val="1"/>
                <c:pt idx="0">
                  <c:v>男</c:v>
                </c:pt>
              </c:strCache>
            </c:strRef>
          </c:tx>
          <c:spPr>
            <a:solidFill>
              <a:srgbClr val="4F81BD"/>
            </a:solidFill>
            <a:ln>
              <a:noFill/>
            </a:ln>
            <a:effectLst/>
          </c:spPr>
          <c:cat>
            <c:strRef>
              <c:f>[各学部男女就业率.xls]Sheet1!$C$2:$I$2</c:f>
              <c:strCache>
                <c:ptCount val="7"/>
                <c:pt idx="0">
                  <c:v>人文学部</c:v>
                </c:pt>
                <c:pt idx="1">
                  <c:v>理学部</c:v>
                </c:pt>
                <c:pt idx="2">
                  <c:v>经管学部</c:v>
                </c:pt>
                <c:pt idx="3">
                  <c:v>信科学部</c:v>
                </c:pt>
                <c:pt idx="4">
                  <c:v>工程学部</c:v>
                </c:pt>
                <c:pt idx="5">
                  <c:v>医学部（四）</c:v>
                </c:pt>
                <c:pt idx="6">
                  <c:v>医学部（五）</c:v>
                </c:pt>
              </c:strCache>
            </c:strRef>
          </c:cat>
          <c:val>
            <c:numRef>
              <c:f>[各学部男女就业率.xls]Sheet1!$C$3:$I$3</c:f>
              <c:numCache>
                <c:formatCode>0%</c:formatCode>
                <c:ptCount val="7"/>
                <c:pt idx="0">
                  <c:v>1</c:v>
                </c:pt>
                <c:pt idx="1">
                  <c:v>1</c:v>
                </c:pt>
                <c:pt idx="2">
                  <c:v>1</c:v>
                </c:pt>
                <c:pt idx="3" formatCode="0.00%">
                  <c:v>0.98880000000000001</c:v>
                </c:pt>
                <c:pt idx="4">
                  <c:v>1</c:v>
                </c:pt>
                <c:pt idx="5">
                  <c:v>1</c:v>
                </c:pt>
                <c:pt idx="6" formatCode="0.00%">
                  <c:v>0.89419999999999999</c:v>
                </c:pt>
              </c:numCache>
            </c:numRef>
          </c:val>
        </c:ser>
        <c:ser>
          <c:idx val="1"/>
          <c:order val="1"/>
          <c:tx>
            <c:strRef>
              <c:f>[各学部男女就业率.xls]Sheet1!$B$4</c:f>
              <c:strCache>
                <c:ptCount val="1"/>
                <c:pt idx="0">
                  <c:v>女</c:v>
                </c:pt>
              </c:strCache>
            </c:strRef>
          </c:tx>
          <c:spPr>
            <a:solidFill>
              <a:srgbClr val="C0504D"/>
            </a:solidFill>
            <a:ln>
              <a:noFill/>
            </a:ln>
            <a:effectLst/>
          </c:spPr>
          <c:cat>
            <c:strRef>
              <c:f>[各学部男女就业率.xls]Sheet1!$C$2:$I$2</c:f>
              <c:strCache>
                <c:ptCount val="7"/>
                <c:pt idx="0">
                  <c:v>人文学部</c:v>
                </c:pt>
                <c:pt idx="1">
                  <c:v>理学部</c:v>
                </c:pt>
                <c:pt idx="2">
                  <c:v>经管学部</c:v>
                </c:pt>
                <c:pt idx="3">
                  <c:v>信科学部</c:v>
                </c:pt>
                <c:pt idx="4">
                  <c:v>工程学部</c:v>
                </c:pt>
                <c:pt idx="5">
                  <c:v>医学部（四）</c:v>
                </c:pt>
                <c:pt idx="6">
                  <c:v>医学部（五）</c:v>
                </c:pt>
              </c:strCache>
            </c:strRef>
          </c:cat>
          <c:val>
            <c:numRef>
              <c:f>[各学部男女就业率.xls]Sheet1!$C$4:$I$4</c:f>
              <c:numCache>
                <c:formatCode>0%</c:formatCode>
                <c:ptCount val="7"/>
                <c:pt idx="0">
                  <c:v>1</c:v>
                </c:pt>
                <c:pt idx="1">
                  <c:v>1</c:v>
                </c:pt>
                <c:pt idx="2" formatCode="0.00%">
                  <c:v>0.99519999999999997</c:v>
                </c:pt>
                <c:pt idx="3">
                  <c:v>1</c:v>
                </c:pt>
                <c:pt idx="4">
                  <c:v>1</c:v>
                </c:pt>
                <c:pt idx="5" formatCode="0.00%">
                  <c:v>0.99460000000000004</c:v>
                </c:pt>
                <c:pt idx="6" formatCode="0.00%">
                  <c:v>0.92130000000000001</c:v>
                </c:pt>
              </c:numCache>
            </c:numRef>
          </c:val>
        </c:ser>
        <c:gapWidth val="219"/>
        <c:overlap val="-27"/>
        <c:axId val="87906560"/>
        <c:axId val="87920640"/>
      </c:barChart>
      <c:catAx>
        <c:axId val="87906560"/>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920640"/>
        <c:crosses val="autoZero"/>
        <c:auto val="1"/>
        <c:lblAlgn val="ctr"/>
        <c:lblOffset val="100"/>
      </c:catAx>
      <c:valAx>
        <c:axId val="87920640"/>
        <c:scaling>
          <c:orientation val="minMax"/>
        </c:scaling>
        <c:axPos val="l"/>
        <c:majorGridlines>
          <c:spPr>
            <a:ln w="9525" cap="flat" cmpd="sng" algn="ctr">
              <a:solidFill>
                <a:srgbClr val="D9D9D9">
                  <a:lumMod val="15000"/>
                  <a:lumOff val="85000"/>
                </a:srgbClr>
              </a:solidFill>
              <a:prstDash val="solid"/>
              <a:round/>
            </a:ln>
            <a:effectLst/>
          </c:spPr>
        </c:majorGridlines>
        <c:numFmt formatCode="0%" sourceLinked="1"/>
        <c:maj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906560"/>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spPr>
            <a:solidFill>
              <a:srgbClr val="4F81BD"/>
            </a:solidFill>
            <a:ln w="19050">
              <a:solidFill>
                <a:srgbClr val="FFFFFF">
                  <a:alpha val="100000"/>
                </a:srgbClr>
              </a:solidFill>
              <a:prstDash val="solid"/>
            </a:ln>
            <a:effectLst/>
          </c:spPr>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Lbls>
            <c:dLbl>
              <c:idx val="0"/>
              <c:layout>
                <c:manualLayout>
                  <c:x val="0"/>
                  <c:y val="-0.12152777777777803"/>
                </c:manualLayout>
              </c:layout>
              <c:tx>
                <c:rich>
                  <a:bodyPr rot="0" spcFirstLastPara="0" vertOverflow="ellipsis" vert="horz" wrap="square" lIns="38100" tIns="19050" rIns="38100" bIns="19050" anchor="ctr" anchorCtr="1"/>
                  <a:lstStyle/>
                  <a:p>
                    <a:pPr algn="ctr" defTabSz="914400">
                      <a:defRPr lang="zh-CN" sz="900" b="1" i="0" u="none" strike="noStrike" kern="1200" baseline="0">
                        <a:solidFill>
                          <a:srgbClr val="404040">
                            <a:lumMod val="75000"/>
                            <a:lumOff val="25000"/>
                          </a:srgbClr>
                        </a:solidFill>
                        <a:latin typeface="+mn-lt"/>
                        <a:ea typeface="+mn-ea"/>
                        <a:cs typeface="+mn-cs"/>
                      </a:defRPr>
                    </a:pPr>
                    <a:r>
                      <a:rPr b="1"/>
                      <a:t>91.54%</a:t>
                    </a:r>
                    <a:endParaRPr sz="900" b="1" i="0" u="none" strike="noStrike" kern="1200" cap="none" normalizeH="0" baseline="0">
                      <a:solidFill>
                        <a:srgbClr val="404040">
                          <a:lumMod val="75000"/>
                          <a:lumOff val="25000"/>
                        </a:srgbClr>
                      </a:solidFill>
                      <a:effectLst/>
                      <a:latin typeface="+mn-lt"/>
                      <a:ea typeface="+mn-ea"/>
                      <a:cs typeface="+mn-cs"/>
                    </a:endParaRPr>
                  </a:p>
                </c:rich>
              </c:tx>
              <c:spPr>
                <a:noFill/>
                <a:ln>
                  <a:noFill/>
                </a:ln>
                <a:effectLst/>
              </c:spPr>
              <c:dLblPos val="bestFit"/>
              <c:showVal val="1"/>
              <c:extLst>
                <c:ext xmlns:c15="http://schemas.microsoft.com/office/drawing/2012/chart" uri="{CE6537A1-D6FC-4f65-9D91-7224C49458BB}">
                  <c15:layout/>
                </c:ext>
              </c:extLst>
            </c:dLbl>
            <c:dLbl>
              <c:idx val="1"/>
              <c:layout>
                <c:manualLayout>
                  <c:x val="-2.7083333333333317E-2"/>
                  <c:y val="5.5555555555555594E-2"/>
                </c:manualLayout>
              </c:layout>
              <c:dLblPos val="bestFit"/>
              <c:showVal val="1"/>
              <c:extLst>
                <c:ext xmlns:c15="http://schemas.microsoft.com/office/drawing/2012/chart" uri="{CE6537A1-D6FC-4f65-9D91-7224C49458BB}">
                  <c15:layout/>
                </c:ext>
              </c:extLst>
            </c:dLbl>
            <c:dLbl>
              <c:idx val="2"/>
              <c:layout>
                <c:manualLayout>
                  <c:x val="-2.5000000000000008E-2"/>
                  <c:y val="2.0833333333333304E-2"/>
                </c:manualLayout>
              </c:layout>
              <c:dLblPos val="bestFit"/>
              <c:showVal val="1"/>
              <c:extLst>
                <c:ext xmlns:c15="http://schemas.microsoft.com/office/drawing/2012/chart" uri="{CE6537A1-D6FC-4f65-9D91-7224C49458BB}">
                  <c15:layout/>
                </c:ext>
              </c:extLst>
            </c:dLbl>
            <c:dLbl>
              <c:idx val="3"/>
              <c:layout>
                <c:manualLayout>
                  <c:x val="1.8750000000000003E-2"/>
                  <c:y val="3.8562883093659309E-2"/>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[毕业生总体毕业流向.xls]Sheet1!$B$3:$B$6</c:f>
              <c:strCache>
                <c:ptCount val="4"/>
                <c:pt idx="0">
                  <c:v>单位就业率</c:v>
                </c:pt>
                <c:pt idx="1">
                  <c:v>升学出国率</c:v>
                </c:pt>
                <c:pt idx="2">
                  <c:v>灵活就业率</c:v>
                </c:pt>
                <c:pt idx="3">
                  <c:v>未就业率</c:v>
                </c:pt>
              </c:strCache>
            </c:strRef>
          </c:cat>
          <c:val>
            <c:numRef>
              <c:f>[毕业生总体毕业流向.xls]Sheet1!$C$3:$C$6</c:f>
              <c:numCache>
                <c:formatCode>0.00%</c:formatCode>
                <c:ptCount val="4"/>
                <c:pt idx="0">
                  <c:v>0.91910000000000003</c:v>
                </c:pt>
                <c:pt idx="1">
                  <c:v>3.6100000000000014E-2</c:v>
                </c:pt>
                <c:pt idx="2">
                  <c:v>2.5400000000000006E-2</c:v>
                </c:pt>
                <c:pt idx="3">
                  <c:v>1.9400000000000008E-2</c:v>
                </c:pt>
              </c:numCache>
            </c:numRef>
          </c:val>
        </c:ser>
        <c:firstSliceAng val="0"/>
      </c:pieChart>
      <c:spPr>
        <a:noFill/>
        <a:ln>
          <a:noFill/>
        </a:ln>
        <a:effectLst/>
      </c:spPr>
    </c:plotArea>
    <c:legend>
      <c:legendPos val="r"/>
      <c:spPr>
        <a:noFill/>
        <a:ln>
          <a:noFill/>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kern="1200">
          <a:solidFill>
            <a:srgbClr val="000000"/>
          </a:solidFill>
          <a:latin typeface="+mn-lt"/>
          <a:ea typeface="+mn-ea"/>
          <a:cs typeface="+mn-cs"/>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[各学部单位就业率.xls]Sheet1!$B$4</c:f>
              <c:strCache>
                <c:ptCount val="1"/>
                <c:pt idx="0">
                  <c:v>单位就业率</c:v>
                </c:pt>
              </c:strCache>
            </c:strRef>
          </c:tx>
          <c:spPr>
            <a:solidFill>
              <a:srgbClr val="4F81BD"/>
            </a:solidFill>
            <a:ln>
              <a:noFill/>
            </a:ln>
            <a:effectLst/>
          </c:spPr>
          <c:cat>
            <c:strRef>
              <c:f>[各学部单位就业率.xls]Sheet1!$C$3:$I$3</c:f>
              <c:strCache>
                <c:ptCount val="7"/>
                <c:pt idx="0">
                  <c:v>人文学部</c:v>
                </c:pt>
                <c:pt idx="1">
                  <c:v>理学部</c:v>
                </c:pt>
                <c:pt idx="2">
                  <c:v>经管学部</c:v>
                </c:pt>
                <c:pt idx="3">
                  <c:v>信息科学部</c:v>
                </c:pt>
                <c:pt idx="4">
                  <c:v>工程学部</c:v>
                </c:pt>
                <c:pt idx="5">
                  <c:v>医学部（四）</c:v>
                </c:pt>
                <c:pt idx="6">
                  <c:v>医学部（五）</c:v>
                </c:pt>
              </c:strCache>
            </c:strRef>
          </c:cat>
          <c:val>
            <c:numRef>
              <c:f>[各学部单位就业率.xls]Sheet1!$C$4:$I$4</c:f>
              <c:numCache>
                <c:formatCode>0.00%</c:formatCode>
                <c:ptCount val="7"/>
                <c:pt idx="0">
                  <c:v>0.96060000000000023</c:v>
                </c:pt>
                <c:pt idx="1">
                  <c:v>0.89600000000000002</c:v>
                </c:pt>
                <c:pt idx="2">
                  <c:v>0.98170000000000002</c:v>
                </c:pt>
                <c:pt idx="3">
                  <c:v>0.95060000000000022</c:v>
                </c:pt>
                <c:pt idx="4">
                  <c:v>0.97790000000000021</c:v>
                </c:pt>
                <c:pt idx="5">
                  <c:v>0.91900000000000004</c:v>
                </c:pt>
                <c:pt idx="6">
                  <c:v>0.73730000000000018</c:v>
                </c:pt>
              </c:numCache>
            </c:numRef>
          </c:val>
        </c:ser>
        <c:gapWidth val="219"/>
        <c:overlap val="-27"/>
        <c:axId val="87974656"/>
        <c:axId val="87976192"/>
      </c:barChart>
      <c:catAx>
        <c:axId val="87974656"/>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976192"/>
        <c:crosses val="autoZero"/>
        <c:auto val="1"/>
        <c:lblAlgn val="ctr"/>
        <c:lblOffset val="100"/>
      </c:catAx>
      <c:valAx>
        <c:axId val="87976192"/>
        <c:scaling>
          <c:orientation val="minMax"/>
        </c:scaling>
        <c:axPos val="l"/>
        <c:numFmt formatCode="0.00%" sourceLinked="1"/>
        <c:majorTickMark val="none"/>
        <c:tickLblPos val="nextTo"/>
        <c:spPr>
          <a:noFill/>
          <a:ln w="6350"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974656"/>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rgbClr val="4F81BD"/>
            </a:solidFill>
            <a:ln>
              <a:noFill/>
            </a:ln>
            <a:effectLst/>
          </c:spPr>
          <c:cat>
            <c:strRef>
              <c:f>[各学部升学出国率.xls]Sheet1!$B$2:$B$8</c:f>
              <c:strCache>
                <c:ptCount val="7"/>
                <c:pt idx="0">
                  <c:v>人文学部</c:v>
                </c:pt>
                <c:pt idx="1">
                  <c:v>理学部</c:v>
                </c:pt>
                <c:pt idx="2">
                  <c:v>信息科学部</c:v>
                </c:pt>
                <c:pt idx="3">
                  <c:v>经济与管理学部</c:v>
                </c:pt>
                <c:pt idx="4">
                  <c:v>工程学部</c:v>
                </c:pt>
                <c:pt idx="5">
                  <c:v>医学部（四） </c:v>
                </c:pt>
                <c:pt idx="6">
                  <c:v>医学部（五）</c:v>
                </c:pt>
              </c:strCache>
            </c:strRef>
          </c:cat>
          <c:val>
            <c:numRef>
              <c:f>[各学部升学出国率.xls]Sheet1!$C$2:$C$8</c:f>
              <c:numCache>
                <c:formatCode>0.00%</c:formatCode>
                <c:ptCount val="7"/>
                <c:pt idx="0">
                  <c:v>3.9400000000000011E-2</c:v>
                </c:pt>
                <c:pt idx="1">
                  <c:v>0.10400000000000002</c:v>
                </c:pt>
                <c:pt idx="2">
                  <c:v>3.2900000000000006E-2</c:v>
                </c:pt>
                <c:pt idx="3">
                  <c:v>1.4700000000000003E-2</c:v>
                </c:pt>
                <c:pt idx="4">
                  <c:v>1.9600000000000006E-2</c:v>
                </c:pt>
                <c:pt idx="5" formatCode="General">
                  <c:v>0</c:v>
                </c:pt>
                <c:pt idx="6">
                  <c:v>7.2800000000000017E-2</c:v>
                </c:pt>
              </c:numCache>
            </c:numRef>
          </c:val>
        </c:ser>
        <c:axId val="88001536"/>
        <c:axId val="88150784"/>
      </c:barChart>
      <c:catAx>
        <c:axId val="88001536"/>
        <c:scaling>
          <c:orientation val="minMax"/>
        </c:scaling>
        <c:axPos val="b"/>
        <c:maj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8150784"/>
        <c:crosses val="autoZero"/>
        <c:auto val="1"/>
        <c:lblAlgn val="ctr"/>
        <c:lblOffset val="100"/>
      </c:catAx>
      <c:valAx>
        <c:axId val="88150784"/>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8001536"/>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[各学部升学出国率.xls]Sheet2!$C$12:$C$14</c:f>
              <c:strCache>
                <c:ptCount val="3"/>
                <c:pt idx="0">
                  <c:v>一致</c:v>
                </c:pt>
                <c:pt idx="1">
                  <c:v>相关/相近</c:v>
                </c:pt>
                <c:pt idx="2">
                  <c:v>相关度低</c:v>
                </c:pt>
              </c:strCache>
            </c:strRef>
          </c:cat>
          <c:val>
            <c:numRef>
              <c:f>[各学部升学出国率.xls]Sheet2!$D$12:$D$14</c:f>
              <c:numCache>
                <c:formatCode>0.00%</c:formatCode>
                <c:ptCount val="3"/>
                <c:pt idx="0">
                  <c:v>0.31500000000000011</c:v>
                </c:pt>
                <c:pt idx="1">
                  <c:v>0.54100000000000004</c:v>
                </c:pt>
                <c:pt idx="2">
                  <c:v>0.13800000000000001</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[未就业率情况.xls]Sheet1!$B$4</c:f>
              <c:strCache>
                <c:ptCount val="1"/>
                <c:pt idx="0">
                  <c:v>未就业率</c:v>
                </c:pt>
              </c:strCache>
            </c:strRef>
          </c:tx>
          <c:spPr>
            <a:solidFill>
              <a:srgbClr val="4F81BD"/>
            </a:solidFill>
            <a:ln>
              <a:noFill/>
            </a:ln>
            <a:effectLst/>
          </c:spPr>
          <c:cat>
            <c:strRef>
              <c:f>[未就业率情况.xls]Sheet1!$C$3:$I$3</c:f>
              <c:strCache>
                <c:ptCount val="7"/>
                <c:pt idx="0">
                  <c:v>人文学部</c:v>
                </c:pt>
                <c:pt idx="1">
                  <c:v>理学部</c:v>
                </c:pt>
                <c:pt idx="2">
                  <c:v>经管学部</c:v>
                </c:pt>
                <c:pt idx="3">
                  <c:v>信息学部</c:v>
                </c:pt>
                <c:pt idx="4">
                  <c:v>工程学部</c:v>
                </c:pt>
                <c:pt idx="5">
                  <c:v>医学部（四）</c:v>
                </c:pt>
                <c:pt idx="6">
                  <c:v>医学部（五）</c:v>
                </c:pt>
              </c:strCache>
            </c:strRef>
          </c:cat>
          <c:val>
            <c:numRef>
              <c:f>[未就业率情况.xls]Sheet1!$C$4:$I$4</c:f>
              <c:numCache>
                <c:formatCode>General</c:formatCode>
                <c:ptCount val="7"/>
                <c:pt idx="0">
                  <c:v>0</c:v>
                </c:pt>
                <c:pt idx="1">
                  <c:v>0</c:v>
                </c:pt>
                <c:pt idx="2" formatCode="0.00%">
                  <c:v>3.700000000000001E-3</c:v>
                </c:pt>
                <c:pt idx="3" formatCode="0.00%">
                  <c:v>8.2000000000000024E-3</c:v>
                </c:pt>
                <c:pt idx="4">
                  <c:v>0</c:v>
                </c:pt>
                <c:pt idx="5" formatCode="0.00%">
                  <c:v>4.7000000000000019E-3</c:v>
                </c:pt>
                <c:pt idx="6" formatCode="0.00%">
                  <c:v>0.1013</c:v>
                </c:pt>
              </c:numCache>
            </c:numRef>
          </c:val>
        </c:ser>
        <c:gapWidth val="219"/>
        <c:overlap val="-27"/>
        <c:axId val="87692032"/>
        <c:axId val="87693568"/>
      </c:barChart>
      <c:catAx>
        <c:axId val="87692032"/>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693568"/>
        <c:crosses val="autoZero"/>
        <c:auto val="1"/>
        <c:lblAlgn val="ctr"/>
        <c:lblOffset val="100"/>
      </c:catAx>
      <c:valAx>
        <c:axId val="87693568"/>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7692032"/>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1907</Words>
  <Characters>10876</Characters>
  <Application>Microsoft Office Word</Application>
  <DocSecurity>0</DocSecurity>
  <PresentationFormat/>
  <Lines>90</Lines>
  <Paragraphs>25</Paragraphs>
  <Slides>0</Slides>
  <Notes>0</Notes>
  <HiddenSlides>0</HiddenSlides>
  <MMClips>0</MMClips>
  <ScaleCrop>false</ScaleCrop>
  <Company>微软中国</Company>
  <LinksUpToDate>false</LinksUpToDate>
  <CharactersWithSpaces>12758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南通大学杏林学院2014届毕业生就业质量年度报告</dc:title>
  <dc:creator>系统管理员</dc:creator>
  <cp:lastModifiedBy>微软用户</cp:lastModifiedBy>
  <cp:revision>2</cp:revision>
  <cp:lastPrinted>2016-01-07T07:50:00Z</cp:lastPrinted>
  <dcterms:created xsi:type="dcterms:W3CDTF">2018-09-20T12:23:00Z</dcterms:created>
  <dcterms:modified xsi:type="dcterms:W3CDTF">2018-09-20T12:23:00Z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